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cs="Arial"/>
          <w:b/>
          <w:sz w:val="72"/>
          <w:szCs w:val="72"/>
        </w:rPr>
        <w:id w:val="317312094"/>
        <w:docPartObj>
          <w:docPartGallery w:val="Cover Pages"/>
          <w:docPartUnique/>
        </w:docPartObj>
      </w:sdtPr>
      <w:sdtEndPr>
        <w:rPr>
          <w:b w:val="0"/>
          <w:sz w:val="20"/>
          <w:szCs w:val="22"/>
        </w:rPr>
      </w:sdtEndPr>
      <w:sdtContent>
        <w:p w:rsidR="00E1637F" w:rsidRPr="00D40DC4" w:rsidRDefault="00647AAF" w:rsidP="00BA356D">
          <w:pPr>
            <w:spacing w:before="3000"/>
            <w:jc w:val="center"/>
            <w:rPr>
              <w:rFonts w:cs="Arial"/>
              <w:b/>
              <w:sz w:val="72"/>
              <w:szCs w:val="72"/>
            </w:rPr>
          </w:pPr>
          <w:r>
            <w:rPr>
              <w:noProof/>
              <w:lang w:eastAsia="hu-HU"/>
            </w:rPr>
            <w:drawing>
              <wp:anchor distT="0" distB="0" distL="114300" distR="114300" simplePos="0" relativeHeight="251660294" behindDoc="1" locked="0" layoutInCell="1" allowOverlap="1" wp14:anchorId="7A9F1C14" wp14:editId="45051643">
                <wp:simplePos x="0" y="0"/>
                <wp:positionH relativeFrom="column">
                  <wp:posOffset>-917516</wp:posOffset>
                </wp:positionH>
                <wp:positionV relativeFrom="paragraph">
                  <wp:posOffset>-908626</wp:posOffset>
                </wp:positionV>
                <wp:extent cx="2881630" cy="1800860"/>
                <wp:effectExtent l="0" t="0" r="0" b="889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1630"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356D" w:rsidRPr="00D40DC4">
            <w:rPr>
              <w:rFonts w:cs="Arial"/>
              <w:b/>
              <w:sz w:val="72"/>
              <w:szCs w:val="72"/>
            </w:rPr>
            <w:t xml:space="preserve">Módszertani útmutató </w:t>
          </w:r>
          <w:r w:rsidR="00271748" w:rsidRPr="00D40DC4">
            <w:rPr>
              <w:rFonts w:cs="Arial"/>
              <w:b/>
              <w:sz w:val="72"/>
              <w:szCs w:val="72"/>
            </w:rPr>
            <w:t>TOP</w:t>
          </w:r>
          <w:r w:rsidR="00C202CE" w:rsidRPr="00D40DC4">
            <w:rPr>
              <w:rFonts w:cs="Arial"/>
              <w:b/>
              <w:sz w:val="72"/>
              <w:szCs w:val="72"/>
            </w:rPr>
            <w:t xml:space="preserve"> </w:t>
          </w:r>
          <w:r w:rsidR="00DB0769">
            <w:rPr>
              <w:rFonts w:cs="Arial"/>
              <w:b/>
              <w:sz w:val="72"/>
              <w:szCs w:val="72"/>
            </w:rPr>
            <w:t xml:space="preserve">és VEKOP területi kiválasztási eljárásrendű </w:t>
          </w:r>
          <w:r w:rsidR="00C202CE" w:rsidRPr="00D40DC4">
            <w:rPr>
              <w:rFonts w:cs="Arial"/>
              <w:b/>
              <w:sz w:val="72"/>
              <w:szCs w:val="72"/>
            </w:rPr>
            <w:t xml:space="preserve">projektek </w:t>
          </w:r>
          <w:r w:rsidR="00BA356D" w:rsidRPr="00D40DC4">
            <w:rPr>
              <w:rFonts w:cs="Arial"/>
              <w:b/>
              <w:sz w:val="72"/>
              <w:szCs w:val="72"/>
            </w:rPr>
            <w:t>költség-haszon elemzés</w:t>
          </w:r>
          <w:r w:rsidR="00271748" w:rsidRPr="00D40DC4">
            <w:rPr>
              <w:rFonts w:cs="Arial"/>
              <w:b/>
              <w:sz w:val="72"/>
              <w:szCs w:val="72"/>
            </w:rPr>
            <w:t>é</w:t>
          </w:r>
          <w:r w:rsidR="00BA356D" w:rsidRPr="00D40DC4">
            <w:rPr>
              <w:rFonts w:cs="Arial"/>
              <w:b/>
              <w:sz w:val="72"/>
              <w:szCs w:val="72"/>
            </w:rPr>
            <w:t>hez</w:t>
          </w:r>
          <w:r w:rsidR="00BA356D" w:rsidRPr="00D40DC4">
            <w:rPr>
              <w:rFonts w:cs="Arial"/>
              <w:b/>
              <w:sz w:val="72"/>
              <w:szCs w:val="72"/>
            </w:rPr>
            <w:br/>
          </w:r>
        </w:p>
        <w:p w:rsidR="00E1637F" w:rsidRPr="00D40DC4" w:rsidRDefault="00647AAF" w:rsidP="00221929">
          <w:pPr>
            <w:rPr>
              <w:rFonts w:cs="Arial"/>
            </w:rPr>
          </w:pPr>
          <w:r>
            <w:rPr>
              <w:noProof/>
              <w:lang w:eastAsia="hu-HU"/>
            </w:rPr>
            <w:drawing>
              <wp:anchor distT="0" distB="0" distL="114300" distR="114300" simplePos="0" relativeHeight="251661318" behindDoc="1" locked="0" layoutInCell="1" allowOverlap="1" wp14:anchorId="6F33F0DD" wp14:editId="36AC3709">
                <wp:simplePos x="0" y="0"/>
                <wp:positionH relativeFrom="column">
                  <wp:posOffset>-304534</wp:posOffset>
                </wp:positionH>
                <wp:positionV relativeFrom="paragraph">
                  <wp:posOffset>4627703</wp:posOffset>
                </wp:positionV>
                <wp:extent cx="1905000" cy="638175"/>
                <wp:effectExtent l="0" t="0" r="0" b="9525"/>
                <wp:wrapNone/>
                <wp:docPr id="3" name="Kép 3"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blokk_2020_ESB_Alapok_3C"/>
                        <pic:cNvPicPr>
                          <a:picLocks noChangeAspect="1" noChangeArrowheads="1"/>
                        </pic:cNvPicPr>
                      </pic:nvPicPr>
                      <pic:blipFill>
                        <a:blip r:embed="rId10" cstate="print">
                          <a:extLst>
                            <a:ext uri="{28A0092B-C50C-407E-A947-70E740481C1C}">
                              <a14:useLocalDpi xmlns:a14="http://schemas.microsoft.com/office/drawing/2010/main" val="0"/>
                            </a:ext>
                          </a:extLst>
                        </a:blip>
                        <a:srcRect l="5736" t="16278" r="5939" b="12515"/>
                        <a:stretch>
                          <a:fillRect/>
                        </a:stretch>
                      </pic:blipFill>
                      <pic:spPr bwMode="auto">
                        <a:xfrm>
                          <a:off x="0" y="0"/>
                          <a:ext cx="19050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37F" w:rsidRPr="00D40DC4">
            <w:rPr>
              <w:rFonts w:cs="Arial"/>
            </w:rPr>
            <w:br w:type="page"/>
          </w:r>
        </w:p>
      </w:sdtContent>
    </w:sdt>
    <w:bookmarkStart w:id="1" w:name="_Toc241657490" w:displacedByCustomXml="next"/>
    <w:bookmarkStart w:id="2" w:name="_Toc163273952" w:displacedByCustomXml="next"/>
    <w:bookmarkStart w:id="3" w:name="_Toc177825020" w:displacedByCustomXml="next"/>
    <w:bookmarkStart w:id="4" w:name="_Toc228260721" w:displacedByCustomXml="next"/>
    <w:sdt>
      <w:sdtPr>
        <w:rPr>
          <w:rFonts w:cs="Arial"/>
          <w:b/>
          <w:sz w:val="72"/>
          <w:szCs w:val="72"/>
        </w:rPr>
        <w:id w:val="1007401390"/>
        <w:docPartObj>
          <w:docPartGallery w:val="Cover Pages"/>
          <w:docPartUnique/>
        </w:docPartObj>
      </w:sdtPr>
      <w:sdtEndPr>
        <w:rPr>
          <w:sz w:val="28"/>
          <w:szCs w:val="28"/>
        </w:rPr>
      </w:sdtEndPr>
      <w:sdtContent>
        <w:p w:rsidR="00D051FE" w:rsidRPr="00D40DC4" w:rsidRDefault="00D051FE" w:rsidP="00D051FE">
          <w:pPr>
            <w:spacing w:before="3000"/>
            <w:jc w:val="center"/>
            <w:rPr>
              <w:rFonts w:cs="Arial"/>
              <w:b/>
              <w:sz w:val="72"/>
              <w:szCs w:val="72"/>
            </w:rPr>
          </w:pPr>
        </w:p>
        <w:p w:rsidR="00D051FE" w:rsidRPr="00D40DC4" w:rsidRDefault="00D051FE" w:rsidP="00D051FE">
          <w:pPr>
            <w:spacing w:before="3000"/>
            <w:jc w:val="center"/>
            <w:rPr>
              <w:rFonts w:cs="Arial"/>
              <w:b/>
              <w:sz w:val="56"/>
              <w:szCs w:val="56"/>
            </w:rPr>
          </w:pPr>
          <w:r w:rsidRPr="00D40DC4">
            <w:rPr>
              <w:rFonts w:cs="Arial"/>
              <w:b/>
              <w:sz w:val="56"/>
              <w:szCs w:val="56"/>
            </w:rPr>
            <w:t>Módszertani útmutató</w:t>
          </w:r>
          <w:r w:rsidRPr="00D40DC4">
            <w:rPr>
              <w:rFonts w:cs="Arial"/>
              <w:b/>
              <w:sz w:val="56"/>
              <w:szCs w:val="56"/>
            </w:rPr>
            <w:br/>
          </w:r>
          <w:r w:rsidR="00271748" w:rsidRPr="00D40DC4">
            <w:rPr>
              <w:rFonts w:cs="Arial"/>
              <w:b/>
              <w:sz w:val="56"/>
              <w:szCs w:val="56"/>
            </w:rPr>
            <w:t>TOP</w:t>
          </w:r>
          <w:r w:rsidR="00C202CE" w:rsidRPr="00D40DC4">
            <w:rPr>
              <w:rFonts w:cs="Arial"/>
              <w:b/>
              <w:sz w:val="56"/>
              <w:szCs w:val="56"/>
            </w:rPr>
            <w:t xml:space="preserve"> </w:t>
          </w:r>
          <w:r w:rsidR="00DB0769">
            <w:rPr>
              <w:rFonts w:cs="Arial"/>
              <w:b/>
              <w:sz w:val="56"/>
              <w:szCs w:val="56"/>
            </w:rPr>
            <w:t xml:space="preserve">és VEKOP területi kiválasztási eljárásrendű </w:t>
          </w:r>
          <w:r w:rsidR="00C202CE" w:rsidRPr="00D40DC4">
            <w:rPr>
              <w:rFonts w:cs="Arial"/>
              <w:b/>
              <w:sz w:val="56"/>
              <w:szCs w:val="56"/>
            </w:rPr>
            <w:t xml:space="preserve">projektek </w:t>
          </w:r>
          <w:r w:rsidRPr="00D40DC4">
            <w:rPr>
              <w:rFonts w:cs="Arial"/>
              <w:b/>
              <w:sz w:val="56"/>
              <w:szCs w:val="56"/>
            </w:rPr>
            <w:t>költség-haszon elemzés</w:t>
          </w:r>
          <w:r w:rsidR="00271748" w:rsidRPr="00D40DC4">
            <w:rPr>
              <w:rFonts w:cs="Arial"/>
              <w:b/>
              <w:sz w:val="56"/>
              <w:szCs w:val="56"/>
            </w:rPr>
            <w:t>é</w:t>
          </w:r>
          <w:r w:rsidRPr="00D40DC4">
            <w:rPr>
              <w:rFonts w:cs="Arial"/>
              <w:b/>
              <w:sz w:val="56"/>
              <w:szCs w:val="56"/>
            </w:rPr>
            <w:t>hez</w:t>
          </w:r>
        </w:p>
        <w:p w:rsidR="00D051FE" w:rsidRPr="00D40DC4" w:rsidRDefault="00D051FE" w:rsidP="00D051FE">
          <w:pPr>
            <w:rPr>
              <w:rFonts w:cs="Arial"/>
            </w:rPr>
          </w:pPr>
        </w:p>
        <w:p w:rsidR="00D051FE" w:rsidRPr="00D40DC4" w:rsidRDefault="00D051FE"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F0523" w:rsidRPr="00D40DC4" w:rsidRDefault="00DF0523" w:rsidP="00D051FE">
          <w:pPr>
            <w:rPr>
              <w:rFonts w:cs="Arial"/>
            </w:rPr>
          </w:pPr>
        </w:p>
        <w:p w:rsidR="00D051FE" w:rsidRPr="00D40DC4" w:rsidRDefault="002C4DE0" w:rsidP="00D051FE">
          <w:pPr>
            <w:jc w:val="center"/>
            <w:rPr>
              <w:rFonts w:cs="Arial"/>
              <w:b/>
              <w:sz w:val="28"/>
              <w:szCs w:val="28"/>
            </w:rPr>
          </w:pPr>
        </w:p>
      </w:sdtContent>
    </w:sdt>
    <w:p w:rsidR="00B21B87" w:rsidRPr="00D40DC4" w:rsidRDefault="00D051FE">
      <w:pPr>
        <w:spacing w:after="160" w:line="259" w:lineRule="auto"/>
        <w:jc w:val="left"/>
        <w:rPr>
          <w:rFonts w:cs="Arial"/>
          <w:b/>
          <w:sz w:val="24"/>
        </w:rPr>
      </w:pPr>
      <w:r w:rsidRPr="00D40DC4">
        <w:rPr>
          <w:rFonts w:cs="Arial"/>
          <w:b/>
          <w:sz w:val="24"/>
        </w:rPr>
        <w:br w:type="page"/>
      </w:r>
      <w:r w:rsidR="00B21B87" w:rsidRPr="00D40DC4">
        <w:rPr>
          <w:rFonts w:cs="Arial"/>
          <w:b/>
          <w:sz w:val="24"/>
        </w:rPr>
        <w:lastRenderedPageBreak/>
        <w:t>TARTALOMJEGYZÉK</w:t>
      </w:r>
    </w:p>
    <w:p w:rsidR="00A65171" w:rsidRPr="00D40DC4" w:rsidRDefault="00B21B87">
      <w:pPr>
        <w:pStyle w:val="TJ1"/>
        <w:tabs>
          <w:tab w:val="left" w:pos="440"/>
        </w:tabs>
        <w:rPr>
          <w:rFonts w:asciiTheme="minorHAnsi" w:eastAsiaTheme="minorEastAsia" w:hAnsiTheme="minorHAnsi"/>
          <w:b w:val="0"/>
          <w:bCs w:val="0"/>
          <w:caps w:val="0"/>
          <w:noProof/>
          <w:sz w:val="22"/>
          <w:szCs w:val="22"/>
          <w:lang w:eastAsia="hu-HU"/>
        </w:rPr>
      </w:pPr>
      <w:r w:rsidRPr="00D40DC4">
        <w:rPr>
          <w:rFonts w:cs="Arial"/>
        </w:rPr>
        <w:fldChar w:fldCharType="begin"/>
      </w:r>
      <w:r w:rsidRPr="00D40DC4">
        <w:rPr>
          <w:rFonts w:cs="Arial"/>
        </w:rPr>
        <w:instrText xml:space="preserve"> TOC \o "1-3" \h \z \u </w:instrText>
      </w:r>
      <w:r w:rsidRPr="00D40DC4">
        <w:rPr>
          <w:rFonts w:cs="Arial"/>
        </w:rPr>
        <w:fldChar w:fldCharType="separate"/>
      </w:r>
      <w:hyperlink w:anchor="_Toc436923871" w:history="1">
        <w:r w:rsidR="00A65171" w:rsidRPr="00D40DC4">
          <w:rPr>
            <w:rStyle w:val="Hiperhivatkozs"/>
            <w:noProof/>
            <w14:scene3d>
              <w14:camera w14:prst="orthographicFront"/>
              <w14:lightRig w14:rig="threePt" w14:dir="t">
                <w14:rot w14:lat="0" w14:lon="0" w14:rev="0"/>
              </w14:lightRig>
            </w14:scene3d>
          </w:rPr>
          <w:t>1</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Bevezetés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_Toc436923871 \h </w:instrText>
        </w:r>
        <w:r w:rsidR="00A65171" w:rsidRPr="00D40DC4">
          <w:rPr>
            <w:noProof/>
            <w:webHidden/>
          </w:rPr>
        </w:r>
        <w:r w:rsidR="00A65171" w:rsidRPr="00D40DC4">
          <w:rPr>
            <w:noProof/>
            <w:webHidden/>
          </w:rPr>
          <w:fldChar w:fldCharType="separate"/>
        </w:r>
        <w:r w:rsidR="009D0109" w:rsidRPr="00D40DC4">
          <w:rPr>
            <w:noProof/>
            <w:webHidden/>
          </w:rPr>
          <w:t>6</w:t>
        </w:r>
        <w:r w:rsidR="00A65171" w:rsidRPr="00D40DC4">
          <w:rPr>
            <w:noProof/>
            <w:webHidden/>
          </w:rPr>
          <w:fldChar w:fldCharType="end"/>
        </w:r>
      </w:hyperlink>
    </w:p>
    <w:p w:rsidR="00A65171" w:rsidRPr="00D40DC4" w:rsidRDefault="002C4DE0">
      <w:pPr>
        <w:pStyle w:val="TJ1"/>
        <w:tabs>
          <w:tab w:val="left" w:pos="440"/>
        </w:tabs>
        <w:rPr>
          <w:rFonts w:asciiTheme="minorHAnsi" w:eastAsiaTheme="minorEastAsia" w:hAnsiTheme="minorHAnsi"/>
          <w:b w:val="0"/>
          <w:bCs w:val="0"/>
          <w:caps w:val="0"/>
          <w:noProof/>
          <w:sz w:val="22"/>
          <w:szCs w:val="22"/>
          <w:lang w:eastAsia="hu-HU"/>
        </w:rPr>
      </w:pPr>
      <w:hyperlink w:anchor="_Toc436923872" w:history="1">
        <w:r w:rsidR="00A65171" w:rsidRPr="00D40DC4">
          <w:rPr>
            <w:rStyle w:val="Hiperhivatkozs"/>
            <w:noProof/>
            <w14:scene3d>
              <w14:camera w14:prst="orthographicFront"/>
              <w14:lightRig w14:rig="threePt" w14:dir="t">
                <w14:rot w14:lat="0" w14:lon="0" w14:rev="0"/>
              </w14:lightRig>
            </w14:scene3d>
          </w:rPr>
          <w:t>2</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A költség-haszon elemzés alapjai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_Toc436923872 \h </w:instrText>
        </w:r>
        <w:r w:rsidR="00A65171" w:rsidRPr="00D40DC4">
          <w:rPr>
            <w:noProof/>
            <w:webHidden/>
          </w:rPr>
        </w:r>
        <w:r w:rsidR="00A65171" w:rsidRPr="00D40DC4">
          <w:rPr>
            <w:noProof/>
            <w:webHidden/>
          </w:rPr>
          <w:fldChar w:fldCharType="separate"/>
        </w:r>
        <w:r w:rsidR="009D0109" w:rsidRPr="00D40DC4">
          <w:rPr>
            <w:noProof/>
            <w:webHidden/>
          </w:rPr>
          <w:t>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3" w:history="1">
        <w:r w:rsidR="00A65171" w:rsidRPr="00D40DC4">
          <w:rPr>
            <w:rStyle w:val="Hiperhivatkozs"/>
            <w:noProof/>
            <w14:scene3d>
              <w14:camera w14:prst="orthographicFront"/>
              <w14:lightRig w14:rig="threePt" w14:dir="t">
                <w14:rot w14:lat="0" w14:lon="0" w14:rev="0"/>
              </w14:lightRig>
            </w14:scene3d>
          </w:rPr>
          <w:t>2.1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Költség-haszon elemzés elemei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_Toc436923873 \h </w:instrText>
        </w:r>
        <w:r w:rsidR="00A65171" w:rsidRPr="00D40DC4">
          <w:rPr>
            <w:noProof/>
            <w:webHidden/>
          </w:rPr>
        </w:r>
        <w:r w:rsidR="00A65171" w:rsidRPr="00D40DC4">
          <w:rPr>
            <w:noProof/>
            <w:webHidden/>
          </w:rPr>
          <w:fldChar w:fldCharType="separate"/>
        </w:r>
        <w:r w:rsidR="009D0109" w:rsidRPr="00D40DC4">
          <w:rPr>
            <w:noProof/>
            <w:webHidden/>
          </w:rPr>
          <w:t>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4" w:history="1">
        <w:r w:rsidR="00A65171" w:rsidRPr="00D40DC4">
          <w:rPr>
            <w:rStyle w:val="Hiperhivatkozs"/>
            <w:noProof/>
            <w14:scene3d>
              <w14:camera w14:prst="orthographicFront"/>
              <w14:lightRig w14:rig="threePt" w14:dir="t">
                <w14:rot w14:lat="0" w14:lon="0" w14:rev="0"/>
              </w14:lightRig>
            </w14:scene3d>
          </w:rPr>
          <w:t>2.2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költség-haszon elemzés a projekt előkészítés folyamatában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_Toc436923874 \h </w:instrText>
        </w:r>
        <w:r w:rsidR="00A65171" w:rsidRPr="00D40DC4">
          <w:rPr>
            <w:noProof/>
            <w:webHidden/>
          </w:rPr>
        </w:r>
        <w:r w:rsidR="00A65171" w:rsidRPr="00D40DC4">
          <w:rPr>
            <w:noProof/>
            <w:webHidden/>
          </w:rPr>
          <w:fldChar w:fldCharType="separate"/>
        </w:r>
        <w:r w:rsidR="009D0109" w:rsidRPr="00D40DC4">
          <w:rPr>
            <w:noProof/>
            <w:webHidden/>
          </w:rPr>
          <w:t>10</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5" w:history="1">
        <w:r w:rsidR="00A65171" w:rsidRPr="00D40DC4">
          <w:rPr>
            <w:rStyle w:val="Hiperhivatkozs"/>
            <w:noProof/>
            <w14:scene3d>
              <w14:camera w14:prst="orthographicFront"/>
              <w14:lightRig w14:rig="threePt" w14:dir="t">
                <w14:rot w14:lat="0" w14:lon="0" w14:rev="0"/>
              </w14:lightRig>
            </w14:scene3d>
          </w:rPr>
          <w:t>2.3</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költség-haszon elemzés eredményeinek dokumentálása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_Toc436923875 \h </w:instrText>
        </w:r>
        <w:r w:rsidR="00A65171" w:rsidRPr="00D40DC4">
          <w:rPr>
            <w:noProof/>
            <w:webHidden/>
          </w:rPr>
        </w:r>
        <w:r w:rsidR="00A65171" w:rsidRPr="00D40DC4">
          <w:rPr>
            <w:noProof/>
            <w:webHidden/>
          </w:rPr>
          <w:fldChar w:fldCharType="separate"/>
        </w:r>
        <w:r w:rsidR="009D0109" w:rsidRPr="00D40DC4">
          <w:rPr>
            <w:noProof/>
            <w:webHidden/>
          </w:rPr>
          <w:t>10</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6" w:history="1">
        <w:r w:rsidR="00A65171" w:rsidRPr="00D40DC4">
          <w:rPr>
            <w:rStyle w:val="Hiperhivatkozs"/>
            <w:noProof/>
            <w14:scene3d>
              <w14:camera w14:prst="orthographicFront"/>
              <w14:lightRig w14:rig="threePt" w14:dir="t">
                <w14:rot w14:lat="0" w14:lon="0" w14:rev="0"/>
              </w14:lightRig>
            </w14:scene3d>
          </w:rPr>
          <w:t>2.4</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CBA részletezettsége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_Toc436923876 \h </w:instrText>
        </w:r>
        <w:r w:rsidR="00A65171" w:rsidRPr="00D40DC4">
          <w:rPr>
            <w:noProof/>
            <w:webHidden/>
          </w:rPr>
        </w:r>
        <w:r w:rsidR="00A65171" w:rsidRPr="00D40DC4">
          <w:rPr>
            <w:noProof/>
            <w:webHidden/>
          </w:rPr>
          <w:fldChar w:fldCharType="separate"/>
        </w:r>
        <w:r w:rsidR="009D0109" w:rsidRPr="00D40DC4">
          <w:rPr>
            <w:noProof/>
            <w:webHidden/>
          </w:rPr>
          <w:t>12</w:t>
        </w:r>
        <w:r w:rsidR="00A65171" w:rsidRPr="00D40DC4">
          <w:rPr>
            <w:noProof/>
            <w:webHidden/>
          </w:rPr>
          <w:fldChar w:fldCharType="end"/>
        </w:r>
      </w:hyperlink>
    </w:p>
    <w:p w:rsidR="00A65171" w:rsidRPr="00D40DC4" w:rsidRDefault="002C4DE0">
      <w:pPr>
        <w:pStyle w:val="TJ1"/>
        <w:tabs>
          <w:tab w:val="left" w:pos="440"/>
        </w:tabs>
        <w:rPr>
          <w:rFonts w:asciiTheme="minorHAnsi" w:eastAsiaTheme="minorEastAsia" w:hAnsiTheme="minorHAnsi"/>
          <w:b w:val="0"/>
          <w:bCs w:val="0"/>
          <w:caps w:val="0"/>
          <w:noProof/>
          <w:sz w:val="22"/>
          <w:szCs w:val="22"/>
          <w:lang w:eastAsia="hu-HU"/>
        </w:rPr>
      </w:pPr>
      <w:hyperlink w:anchor="_Toc436923877" w:history="1">
        <w:r w:rsidR="00A65171" w:rsidRPr="00D40DC4">
          <w:rPr>
            <w:rStyle w:val="Hiperhivatkozs"/>
            <w:noProof/>
            <w14:scene3d>
              <w14:camera w14:prst="orthographicFront"/>
              <w14:lightRig w14:rig="threePt" w14:dir="t">
                <w14:rot w14:lat="0" w14:lon="0" w14:rev="0"/>
              </w14:lightRig>
            </w14:scene3d>
          </w:rPr>
          <w:t>3</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Kiemelt módszertani kérdések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_Toc436923877 \h </w:instrText>
        </w:r>
        <w:r w:rsidR="00A65171" w:rsidRPr="00D40DC4">
          <w:rPr>
            <w:noProof/>
            <w:webHidden/>
          </w:rPr>
        </w:r>
        <w:r w:rsidR="00A65171" w:rsidRPr="00D40DC4">
          <w:rPr>
            <w:noProof/>
            <w:webHidden/>
          </w:rPr>
          <w:fldChar w:fldCharType="separate"/>
        </w:r>
        <w:r w:rsidR="009D0109" w:rsidRPr="00D40DC4">
          <w:rPr>
            <w:noProof/>
            <w:webHidden/>
          </w:rPr>
          <w:t>15</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8" w:history="1">
        <w:r w:rsidR="00A65171" w:rsidRPr="00D40DC4">
          <w:rPr>
            <w:rStyle w:val="Hiperhivatkozs"/>
            <w:noProof/>
            <w14:scene3d>
              <w14:camera w14:prst="orthographicFront"/>
              <w14:lightRig w14:rig="threePt" w14:dir="t">
                <w14:rot w14:lat="0" w14:lon="0" w14:rev="0"/>
              </w14:lightRig>
            </w14:scene3d>
          </w:rPr>
          <w:t>3.1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Különbözeti módszer</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_Toc436923878 \h </w:instrText>
        </w:r>
        <w:r w:rsidR="00A65171" w:rsidRPr="00D40DC4">
          <w:rPr>
            <w:noProof/>
            <w:webHidden/>
          </w:rPr>
        </w:r>
        <w:r w:rsidR="00A65171" w:rsidRPr="00D40DC4">
          <w:rPr>
            <w:noProof/>
            <w:webHidden/>
          </w:rPr>
          <w:fldChar w:fldCharType="separate"/>
        </w:r>
        <w:r w:rsidR="009D0109" w:rsidRPr="00D40DC4">
          <w:rPr>
            <w:noProof/>
            <w:webHidden/>
          </w:rPr>
          <w:t>15</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79" w:history="1">
        <w:r w:rsidR="00A65171" w:rsidRPr="00D40DC4">
          <w:rPr>
            <w:rStyle w:val="Hiperhivatkozs"/>
            <w:noProof/>
            <w14:scene3d>
              <w14:camera w14:prst="orthographicFront"/>
              <w14:lightRig w14:rig="threePt" w14:dir="t">
                <w14:rot w14:lat="0" w14:lon="0" w14:rev="0"/>
              </w14:lightRig>
            </w14:scene3d>
          </w:rPr>
          <w:t>3.2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Projekt nélküli eset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_Toc436923879 \h </w:instrText>
        </w:r>
        <w:r w:rsidR="00A65171" w:rsidRPr="00D40DC4">
          <w:rPr>
            <w:noProof/>
            <w:webHidden/>
          </w:rPr>
        </w:r>
        <w:r w:rsidR="00A65171" w:rsidRPr="00D40DC4">
          <w:rPr>
            <w:noProof/>
            <w:webHidden/>
          </w:rPr>
          <w:fldChar w:fldCharType="separate"/>
        </w:r>
        <w:r w:rsidR="009D0109" w:rsidRPr="00D40DC4">
          <w:rPr>
            <w:noProof/>
            <w:webHidden/>
          </w:rPr>
          <w:t>15</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0" w:history="1">
        <w:r w:rsidR="00A65171" w:rsidRPr="00D40DC4">
          <w:rPr>
            <w:rStyle w:val="Hiperhivatkozs"/>
            <w:noProof/>
            <w14:scene3d>
              <w14:camera w14:prst="orthographicFront"/>
              <w14:lightRig w14:rig="threePt" w14:dir="t">
                <w14:rot w14:lat="0" w14:lon="0" w14:rev="0"/>
              </w14:lightRig>
            </w14:scene3d>
          </w:rPr>
          <w:t>3.3</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Az elemzés árszintje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_Toc436923880 \h </w:instrText>
        </w:r>
        <w:r w:rsidR="00A65171" w:rsidRPr="00D40DC4">
          <w:rPr>
            <w:noProof/>
            <w:webHidden/>
          </w:rPr>
        </w:r>
        <w:r w:rsidR="00A65171" w:rsidRPr="00D40DC4">
          <w:rPr>
            <w:noProof/>
            <w:webHidden/>
          </w:rPr>
          <w:fldChar w:fldCharType="separate"/>
        </w:r>
        <w:r w:rsidR="009D0109" w:rsidRPr="00D40DC4">
          <w:rPr>
            <w:noProof/>
            <w:webHidden/>
          </w:rPr>
          <w:t>16</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1" w:history="1">
        <w:r w:rsidR="00A65171" w:rsidRPr="00D40DC4">
          <w:rPr>
            <w:rStyle w:val="Hiperhivatkozs"/>
            <w:noProof/>
            <w14:scene3d>
              <w14:camera w14:prst="orthographicFront"/>
              <w14:lightRig w14:rig="threePt" w14:dir="t">
                <w14:rot w14:lat="0" w14:lon="0" w14:rev="0"/>
              </w14:lightRig>
            </w14:scene3d>
          </w:rPr>
          <w:t>3.4</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Hatásterület lehatárolása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_Toc436923881 \h </w:instrText>
        </w:r>
        <w:r w:rsidR="00A65171" w:rsidRPr="00D40DC4">
          <w:rPr>
            <w:noProof/>
            <w:webHidden/>
          </w:rPr>
        </w:r>
        <w:r w:rsidR="00A65171" w:rsidRPr="00D40DC4">
          <w:rPr>
            <w:noProof/>
            <w:webHidden/>
          </w:rPr>
          <w:fldChar w:fldCharType="separate"/>
        </w:r>
        <w:r w:rsidR="009D0109" w:rsidRPr="00D40DC4">
          <w:rPr>
            <w:noProof/>
            <w:webHidden/>
          </w:rPr>
          <w:t>16</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2" w:history="1">
        <w:r w:rsidR="00A65171" w:rsidRPr="00D40DC4">
          <w:rPr>
            <w:rStyle w:val="Hiperhivatkozs"/>
            <w:noProof/>
            <w14:scene3d>
              <w14:camera w14:prst="orthographicFront"/>
              <w14:lightRig w14:rig="threePt" w14:dir="t">
                <w14:rot w14:lat="0" w14:lon="0" w14:rev="0"/>
              </w14:lightRig>
            </w14:scene3d>
          </w:rPr>
          <w:t>3.5</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Ütemezett beruházás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_Toc436923882 \h </w:instrText>
        </w:r>
        <w:r w:rsidR="00A65171" w:rsidRPr="00D40DC4">
          <w:rPr>
            <w:noProof/>
            <w:webHidden/>
          </w:rPr>
        </w:r>
        <w:r w:rsidR="00A65171" w:rsidRPr="00D40DC4">
          <w:rPr>
            <w:noProof/>
            <w:webHidden/>
          </w:rPr>
          <w:fldChar w:fldCharType="separate"/>
        </w:r>
        <w:r w:rsidR="009D0109" w:rsidRPr="00D40DC4">
          <w:rPr>
            <w:noProof/>
            <w:webHidden/>
          </w:rPr>
          <w:t>16</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3" w:history="1">
        <w:r w:rsidR="00A65171" w:rsidRPr="00D40DC4">
          <w:rPr>
            <w:rStyle w:val="Hiperhivatkozs"/>
            <w:noProof/>
            <w14:scene3d>
              <w14:camera w14:prst="orthographicFront"/>
              <w14:lightRig w14:rig="threePt" w14:dir="t">
                <w14:rot w14:lat="0" w14:lon="0" w14:rev="0"/>
              </w14:lightRig>
            </w14:scene3d>
          </w:rPr>
          <w:t>3.6</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Intézményi kérdések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_Toc436923883 \h </w:instrText>
        </w:r>
        <w:r w:rsidR="00A65171" w:rsidRPr="00D40DC4">
          <w:rPr>
            <w:noProof/>
            <w:webHidden/>
          </w:rPr>
        </w:r>
        <w:r w:rsidR="00A65171" w:rsidRPr="00D40DC4">
          <w:rPr>
            <w:noProof/>
            <w:webHidden/>
          </w:rPr>
          <w:fldChar w:fldCharType="separate"/>
        </w:r>
        <w:r w:rsidR="009D0109" w:rsidRPr="00D40DC4">
          <w:rPr>
            <w:noProof/>
            <w:webHidden/>
          </w:rPr>
          <w:t>17</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4" w:history="1">
        <w:r w:rsidR="00A65171" w:rsidRPr="00D40DC4">
          <w:rPr>
            <w:rStyle w:val="Hiperhivatkozs"/>
            <w:noProof/>
            <w14:scene3d>
              <w14:camera w14:prst="orthographicFront"/>
              <w14:lightRig w14:rig="threePt" w14:dir="t">
                <w14:rot w14:lat="0" w14:lon="0" w14:rev="0"/>
              </w14:lightRig>
            </w14:scene3d>
          </w:rPr>
          <w:t>3.7</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Amortizáció kezelése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_Toc436923884 \h </w:instrText>
        </w:r>
        <w:r w:rsidR="00A65171" w:rsidRPr="00D40DC4">
          <w:rPr>
            <w:noProof/>
            <w:webHidden/>
          </w:rPr>
        </w:r>
        <w:r w:rsidR="00A65171" w:rsidRPr="00D40DC4">
          <w:rPr>
            <w:noProof/>
            <w:webHidden/>
          </w:rPr>
          <w:fldChar w:fldCharType="separate"/>
        </w:r>
        <w:r w:rsidR="009D0109" w:rsidRPr="00D40DC4">
          <w:rPr>
            <w:noProof/>
            <w:webHidden/>
          </w:rPr>
          <w:t>18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5" w:history="1">
        <w:r w:rsidR="00A65171" w:rsidRPr="00D40DC4">
          <w:rPr>
            <w:rStyle w:val="Hiperhivatkozs"/>
            <w:noProof/>
            <w14:scene3d>
              <w14:camera w14:prst="orthographicFront"/>
              <w14:lightRig w14:rig="threePt" w14:dir="t">
                <w14:rot w14:lat="0" w14:lon="0" w14:rev="0"/>
              </w14:lightRig>
            </w14:scene3d>
          </w:rPr>
          <w:t>3.8</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Konszolidált megközelítés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_Toc436923885 \h </w:instrText>
        </w:r>
        <w:r w:rsidR="00A65171" w:rsidRPr="00D40DC4">
          <w:rPr>
            <w:noProof/>
            <w:webHidden/>
          </w:rPr>
        </w:r>
        <w:r w:rsidR="00A65171" w:rsidRPr="00D40DC4">
          <w:rPr>
            <w:noProof/>
            <w:webHidden/>
          </w:rPr>
          <w:fldChar w:fldCharType="separate"/>
        </w:r>
        <w:r w:rsidR="009D0109" w:rsidRPr="00D40DC4">
          <w:rPr>
            <w:noProof/>
            <w:webHidden/>
          </w:rPr>
          <w:t>18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6" w:history="1">
        <w:r w:rsidR="00A65171" w:rsidRPr="00D40DC4">
          <w:rPr>
            <w:rStyle w:val="Hiperhivatkozs"/>
            <w:noProof/>
            <w14:scene3d>
              <w14:camera w14:prst="orthographicFront"/>
              <w14:lightRig w14:rig="threePt" w14:dir="t">
                <w14:rot w14:lat="0" w14:lon="0" w14:rev="0"/>
              </w14:lightRig>
            </w14:scene3d>
          </w:rPr>
          <w:t>3.9</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Keresletelemzés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_Toc436923886 \h </w:instrText>
        </w:r>
        <w:r w:rsidR="00A65171" w:rsidRPr="00D40DC4">
          <w:rPr>
            <w:noProof/>
            <w:webHidden/>
          </w:rPr>
        </w:r>
        <w:r w:rsidR="00A65171" w:rsidRPr="00D40DC4">
          <w:rPr>
            <w:noProof/>
            <w:webHidden/>
          </w:rPr>
          <w:fldChar w:fldCharType="separate"/>
        </w:r>
        <w:r w:rsidR="009D0109" w:rsidRPr="00D40DC4">
          <w:rPr>
            <w:noProof/>
            <w:webHidden/>
          </w:rPr>
          <w:t>18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7" w:history="1">
        <w:r w:rsidR="00A65171" w:rsidRPr="00D40DC4">
          <w:rPr>
            <w:rStyle w:val="Hiperhivatkozs"/>
            <w:noProof/>
            <w14:scene3d>
              <w14:camera w14:prst="orthographicFront"/>
              <w14:lightRig w14:rig="threePt" w14:dir="t">
                <w14:rot w14:lat="0" w14:lon="0" w14:rev="0"/>
              </w14:lightRig>
            </w14:scene3d>
          </w:rPr>
          <w:t>3.10</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Költség-haszon elemzés paraméterei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_Toc436923887 \h </w:instrText>
        </w:r>
        <w:r w:rsidR="00A65171" w:rsidRPr="00D40DC4">
          <w:rPr>
            <w:noProof/>
            <w:webHidden/>
          </w:rPr>
        </w:r>
        <w:r w:rsidR="00A65171" w:rsidRPr="00D40DC4">
          <w:rPr>
            <w:noProof/>
            <w:webHidden/>
          </w:rPr>
          <w:fldChar w:fldCharType="separate"/>
        </w:r>
        <w:r w:rsidR="009D0109" w:rsidRPr="00D40DC4">
          <w:rPr>
            <w:noProof/>
            <w:webHidden/>
          </w:rPr>
          <w:t>19</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8" w:history="1">
        <w:r w:rsidR="00A65171" w:rsidRPr="00D40DC4">
          <w:rPr>
            <w:rStyle w:val="Hiperhivatkozs"/>
            <w:noProof/>
            <w14:scene3d>
              <w14:camera w14:prst="orthographicFront"/>
              <w14:lightRig w14:rig="threePt" w14:dir="t">
                <w14:rot w14:lat="0" w14:lon="0" w14:rev="0"/>
              </w14:lightRig>
            </w14:scene3d>
          </w:rPr>
          <w:t>3.11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Változatok meghatározása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_Toc436923888 \h </w:instrText>
        </w:r>
        <w:r w:rsidR="00A65171" w:rsidRPr="00D40DC4">
          <w:rPr>
            <w:noProof/>
            <w:webHidden/>
          </w:rPr>
        </w:r>
        <w:r w:rsidR="00A65171" w:rsidRPr="00D40DC4">
          <w:rPr>
            <w:noProof/>
            <w:webHidden/>
          </w:rPr>
          <w:fldChar w:fldCharType="separate"/>
        </w:r>
        <w:r w:rsidR="009D0109" w:rsidRPr="00D40DC4">
          <w:rPr>
            <w:noProof/>
            <w:webHidden/>
          </w:rPr>
          <w:t>20</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89" w:history="1">
        <w:r w:rsidR="00A65171" w:rsidRPr="00D40DC4">
          <w:rPr>
            <w:rStyle w:val="Hiperhivatkozs"/>
            <w:noProof/>
            <w14:scene3d>
              <w14:camera w14:prst="orthographicFront"/>
              <w14:lightRig w14:rig="threePt" w14:dir="t">
                <w14:rot w14:lat="0" w14:lon="0" w14:rev="0"/>
              </w14:lightRig>
            </w14:scene3d>
          </w:rPr>
          <w:t>3.12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változatelemzés módszere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_Toc436923889 \h </w:instrText>
        </w:r>
        <w:r w:rsidR="00A65171" w:rsidRPr="00D40DC4">
          <w:rPr>
            <w:noProof/>
            <w:webHidden/>
          </w:rPr>
        </w:r>
        <w:r w:rsidR="00A65171" w:rsidRPr="00D40DC4">
          <w:rPr>
            <w:noProof/>
            <w:webHidden/>
          </w:rPr>
          <w:fldChar w:fldCharType="separate"/>
        </w:r>
        <w:r w:rsidR="009D0109" w:rsidRPr="00D40DC4">
          <w:rPr>
            <w:noProof/>
            <w:webHidden/>
          </w:rPr>
          <w:t>21</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0" w:history="1">
        <w:r w:rsidR="00A65171" w:rsidRPr="00D40DC4">
          <w:rPr>
            <w:rStyle w:val="Hiperhivatkozs"/>
            <w:noProof/>
            <w14:scene3d>
              <w14:camera w14:prst="orthographicFront"/>
              <w14:lightRig w14:rig="threePt" w14:dir="t">
                <w14:rot w14:lat="0" w14:lon="0" w14:rev="0"/>
              </w14:lightRig>
            </w14:scene3d>
          </w:rPr>
          <w:t>3.12.1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Költség-hatékonyság 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_Toc436923890 \h </w:instrText>
        </w:r>
        <w:r w:rsidR="00A65171" w:rsidRPr="00D40DC4">
          <w:rPr>
            <w:noProof/>
            <w:webHidden/>
          </w:rPr>
        </w:r>
        <w:r w:rsidR="00A65171" w:rsidRPr="00D40DC4">
          <w:rPr>
            <w:noProof/>
            <w:webHidden/>
          </w:rPr>
          <w:fldChar w:fldCharType="separate"/>
        </w:r>
        <w:r w:rsidR="009D0109" w:rsidRPr="00D40DC4">
          <w:rPr>
            <w:noProof/>
            <w:webHidden/>
          </w:rPr>
          <w:t>24</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1" w:history="1">
        <w:r w:rsidR="00A65171" w:rsidRPr="00D40DC4">
          <w:rPr>
            <w:rStyle w:val="Hiperhivatkozs"/>
            <w:noProof/>
            <w14:scene3d>
              <w14:camera w14:prst="orthographicFront"/>
              <w14:lightRig w14:rig="threePt" w14:dir="t">
                <w14:rot w14:lat="0" w14:lon="0" w14:rev="0"/>
              </w14:lightRig>
            </w14:scene3d>
          </w:rPr>
          <w:t>3.12.2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Közgazdasági költség-haszon 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_Toc436923891 \h </w:instrText>
        </w:r>
        <w:r w:rsidR="00A65171" w:rsidRPr="00D40DC4">
          <w:rPr>
            <w:noProof/>
            <w:webHidden/>
          </w:rPr>
        </w:r>
        <w:r w:rsidR="00A65171" w:rsidRPr="00D40DC4">
          <w:rPr>
            <w:noProof/>
            <w:webHidden/>
          </w:rPr>
          <w:fldChar w:fldCharType="separate"/>
        </w:r>
        <w:r w:rsidR="009D0109" w:rsidRPr="00D40DC4">
          <w:rPr>
            <w:noProof/>
            <w:webHidden/>
          </w:rPr>
          <w:t>26</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2" w:history="1">
        <w:r w:rsidR="00A65171" w:rsidRPr="00D40DC4">
          <w:rPr>
            <w:rStyle w:val="Hiperhivatkozs"/>
            <w:noProof/>
            <w14:scene3d>
              <w14:camera w14:prst="orthographicFront"/>
              <w14:lightRig w14:rig="threePt" w14:dir="t">
                <w14:rot w14:lat="0" w14:lon="0" w14:rev="0"/>
              </w14:lightRig>
            </w14:scene3d>
          </w:rPr>
          <w:t>3.12.3</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Többszempontú értékelés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_Toc436923892 \h </w:instrText>
        </w:r>
        <w:r w:rsidR="00A65171" w:rsidRPr="00D40DC4">
          <w:rPr>
            <w:noProof/>
            <w:webHidden/>
          </w:rPr>
        </w:r>
        <w:r w:rsidR="00A65171" w:rsidRPr="00D40DC4">
          <w:rPr>
            <w:noProof/>
            <w:webHidden/>
          </w:rPr>
          <w:fldChar w:fldCharType="separate"/>
        </w:r>
        <w:r w:rsidR="009D0109" w:rsidRPr="00D40DC4">
          <w:rPr>
            <w:noProof/>
            <w:webHidden/>
          </w:rPr>
          <w:t>27</w:t>
        </w:r>
        <w:r w:rsidR="00A65171" w:rsidRPr="00D40DC4">
          <w:rPr>
            <w:noProof/>
            <w:webHidden/>
          </w:rPr>
          <w:fldChar w:fldCharType="end"/>
        </w:r>
      </w:hyperlink>
    </w:p>
    <w:p w:rsidR="00A65171" w:rsidRPr="00D40DC4" w:rsidRDefault="002C4DE0">
      <w:pPr>
        <w:pStyle w:val="TJ1"/>
        <w:tabs>
          <w:tab w:val="left" w:pos="440"/>
        </w:tabs>
        <w:rPr>
          <w:rFonts w:asciiTheme="minorHAnsi" w:eastAsiaTheme="minorEastAsia" w:hAnsiTheme="minorHAnsi"/>
          <w:b w:val="0"/>
          <w:bCs w:val="0"/>
          <w:caps w:val="0"/>
          <w:noProof/>
          <w:sz w:val="22"/>
          <w:szCs w:val="22"/>
          <w:lang w:eastAsia="hu-HU"/>
        </w:rPr>
      </w:pPr>
      <w:hyperlink w:anchor="_Toc436923893" w:history="1">
        <w:r w:rsidR="00A65171" w:rsidRPr="00D40DC4">
          <w:rPr>
            <w:rStyle w:val="Hiperhivatkozs"/>
            <w:noProof/>
            <w14:scene3d>
              <w14:camera w14:prst="orthographicFront"/>
              <w14:lightRig w14:rig="threePt" w14:dir="t">
                <w14:rot w14:lat="0" w14:lon="0" w14:rev="0"/>
              </w14:lightRig>
            </w14:scene3d>
          </w:rPr>
          <w:t>4</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Pénzügyi 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_Toc436923893 \h </w:instrText>
        </w:r>
        <w:r w:rsidR="00A65171" w:rsidRPr="00D40DC4">
          <w:rPr>
            <w:noProof/>
            <w:webHidden/>
          </w:rPr>
        </w:r>
        <w:r w:rsidR="00A65171" w:rsidRPr="00D40DC4">
          <w:rPr>
            <w:noProof/>
            <w:webHidden/>
          </w:rPr>
          <w:fldChar w:fldCharType="separate"/>
        </w:r>
        <w:r w:rsidR="009D0109" w:rsidRPr="00D40DC4">
          <w:rPr>
            <w:noProof/>
            <w:webHidden/>
          </w:rPr>
          <w:t>30</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94" w:history="1">
        <w:r w:rsidR="00A65171" w:rsidRPr="00D40DC4">
          <w:rPr>
            <w:rStyle w:val="Hiperhivatkozs"/>
            <w:noProof/>
            <w14:scene3d>
              <w14:camera w14:prst="orthographicFront"/>
              <w14:lightRig w14:rig="threePt" w14:dir="t">
                <w14:rot w14:lat="0" w14:lon="0" w14:rev="0"/>
              </w14:lightRig>
            </w14:scene3d>
          </w:rPr>
          <w:t>4.1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pénzügyi elemzés célja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_Toc436923894 \h </w:instrText>
        </w:r>
        <w:r w:rsidR="00A65171" w:rsidRPr="00D40DC4">
          <w:rPr>
            <w:noProof/>
            <w:webHidden/>
          </w:rPr>
        </w:r>
        <w:r w:rsidR="00A65171" w:rsidRPr="00D40DC4">
          <w:rPr>
            <w:noProof/>
            <w:webHidden/>
          </w:rPr>
          <w:fldChar w:fldCharType="separate"/>
        </w:r>
        <w:r w:rsidR="009D0109" w:rsidRPr="00D40DC4">
          <w:rPr>
            <w:noProof/>
            <w:webHidden/>
          </w:rPr>
          <w:t>32</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95" w:history="1">
        <w:r w:rsidR="00A65171" w:rsidRPr="00D40DC4">
          <w:rPr>
            <w:rStyle w:val="Hiperhivatkozs"/>
            <w:noProof/>
            <w14:scene3d>
              <w14:camera w14:prst="orthographicFront"/>
              <w14:lightRig w14:rig="threePt" w14:dir="t">
                <w14:rot w14:lat="0" w14:lon="0" w14:rev="0"/>
              </w14:lightRig>
            </w14:scene3d>
          </w:rPr>
          <w:t>4.2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projekt pénzügyi költségeinek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_Toc436923895 \h </w:instrText>
        </w:r>
        <w:r w:rsidR="00A65171" w:rsidRPr="00D40DC4">
          <w:rPr>
            <w:noProof/>
            <w:webHidden/>
          </w:rPr>
        </w:r>
        <w:r w:rsidR="00A65171" w:rsidRPr="00D40DC4">
          <w:rPr>
            <w:noProof/>
            <w:webHidden/>
          </w:rPr>
          <w:fldChar w:fldCharType="separate"/>
        </w:r>
        <w:r w:rsidR="009D0109" w:rsidRPr="00D40DC4">
          <w:rPr>
            <w:noProof/>
            <w:webHidden/>
          </w:rPr>
          <w:t>34</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6" w:history="1">
        <w:r w:rsidR="00A65171" w:rsidRPr="00D40DC4">
          <w:rPr>
            <w:rStyle w:val="Hiperhivatkozs"/>
            <w:noProof/>
            <w14:scene3d>
              <w14:camera w14:prst="orthographicFront"/>
              <w14:lightRig w14:rig="threePt" w14:dir="t">
                <w14:rot w14:lat="0" w14:lon="0" w14:rev="0"/>
              </w14:lightRig>
            </w14:scene3d>
          </w:rPr>
          <w:t>4.2.1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Beruházási költségek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_Toc436923896 \h </w:instrText>
        </w:r>
        <w:r w:rsidR="00A65171" w:rsidRPr="00D40DC4">
          <w:rPr>
            <w:noProof/>
            <w:webHidden/>
          </w:rPr>
        </w:r>
        <w:r w:rsidR="00A65171" w:rsidRPr="00D40DC4">
          <w:rPr>
            <w:noProof/>
            <w:webHidden/>
          </w:rPr>
          <w:fldChar w:fldCharType="separate"/>
        </w:r>
        <w:r w:rsidR="009D0109" w:rsidRPr="00D40DC4">
          <w:rPr>
            <w:noProof/>
            <w:webHidden/>
          </w:rPr>
          <w:t>34</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7" w:history="1">
        <w:r w:rsidR="00A65171" w:rsidRPr="00D40DC4">
          <w:rPr>
            <w:rStyle w:val="Hiperhivatkozs"/>
            <w:noProof/>
            <w14:scene3d>
              <w14:camera w14:prst="orthographicFront"/>
              <w14:lightRig w14:rig="threePt" w14:dir="t">
                <w14:rot w14:lat="0" w14:lon="0" w14:rev="0"/>
              </w14:lightRig>
            </w14:scene3d>
          </w:rPr>
          <w:t>4.2.2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Működési költségek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_Toc436923897 \h </w:instrText>
        </w:r>
        <w:r w:rsidR="00A65171" w:rsidRPr="00D40DC4">
          <w:rPr>
            <w:noProof/>
            <w:webHidden/>
          </w:rPr>
        </w:r>
        <w:r w:rsidR="00A65171" w:rsidRPr="00D40DC4">
          <w:rPr>
            <w:noProof/>
            <w:webHidden/>
          </w:rPr>
          <w:fldChar w:fldCharType="separate"/>
        </w:r>
        <w:r w:rsidR="009D0109" w:rsidRPr="00D40DC4">
          <w:rPr>
            <w:noProof/>
            <w:webHidden/>
          </w:rPr>
          <w:t>37</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898" w:history="1">
        <w:r w:rsidR="00A65171" w:rsidRPr="00D40DC4">
          <w:rPr>
            <w:rStyle w:val="Hiperhivatkozs"/>
            <w:noProof/>
            <w14:scene3d>
              <w14:camera w14:prst="orthographicFront"/>
              <w14:lightRig w14:rig="threePt" w14:dir="t">
                <w14:rot w14:lat="0" w14:lon="0" w14:rev="0"/>
              </w14:lightRig>
            </w14:scene3d>
          </w:rPr>
          <w:t>4.2.3</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Maradványérték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_Toc436923898 \h </w:instrText>
        </w:r>
        <w:r w:rsidR="00A65171" w:rsidRPr="00D40DC4">
          <w:rPr>
            <w:noProof/>
            <w:webHidden/>
          </w:rPr>
        </w:r>
        <w:r w:rsidR="00A65171" w:rsidRPr="00D40DC4">
          <w:rPr>
            <w:noProof/>
            <w:webHidden/>
          </w:rPr>
          <w:fldChar w:fldCharType="separate"/>
        </w:r>
        <w:r w:rsidR="009D0109" w:rsidRPr="00D40DC4">
          <w:rPr>
            <w:noProof/>
            <w:webHidden/>
          </w:rPr>
          <w:t>41</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899" w:history="1">
        <w:r w:rsidR="00A65171" w:rsidRPr="00D40DC4">
          <w:rPr>
            <w:rStyle w:val="Hiperhivatkozs"/>
            <w:noProof/>
            <w14:scene3d>
              <w14:camera w14:prst="orthographicFront"/>
              <w14:lightRig w14:rig="threePt" w14:dir="t">
                <w14:rot w14:lat="0" w14:lon="0" w14:rev="0"/>
              </w14:lightRig>
            </w14:scene3d>
          </w:rPr>
          <w:t>4.3</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Pénzügyi bevételek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_Toc436923899 \h </w:instrText>
        </w:r>
        <w:r w:rsidR="00A65171" w:rsidRPr="00D40DC4">
          <w:rPr>
            <w:noProof/>
            <w:webHidden/>
          </w:rPr>
        </w:r>
        <w:r w:rsidR="00A65171" w:rsidRPr="00D40DC4">
          <w:rPr>
            <w:noProof/>
            <w:webHidden/>
          </w:rPr>
          <w:fldChar w:fldCharType="separate"/>
        </w:r>
        <w:r w:rsidR="009D0109" w:rsidRPr="00D40DC4">
          <w:rPr>
            <w:noProof/>
            <w:webHidden/>
          </w:rPr>
          <w:t>43</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0" w:history="1">
        <w:r w:rsidR="00A65171" w:rsidRPr="00D40DC4">
          <w:rPr>
            <w:rStyle w:val="Hiperhivatkozs"/>
            <w:noProof/>
            <w14:scene3d>
              <w14:camera w14:prst="orthographicFront"/>
              <w14:lightRig w14:rig="threePt" w14:dir="t">
                <w14:rot w14:lat="0" w14:lon="0" w14:rev="0"/>
              </w14:lightRig>
            </w14:scene3d>
          </w:rPr>
          <w:t>4.3.1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Bevételek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_Toc436923900 \h </w:instrText>
        </w:r>
        <w:r w:rsidR="00A65171" w:rsidRPr="00D40DC4">
          <w:rPr>
            <w:noProof/>
            <w:webHidden/>
          </w:rPr>
        </w:r>
        <w:r w:rsidR="00A65171" w:rsidRPr="00D40DC4">
          <w:rPr>
            <w:noProof/>
            <w:webHidden/>
          </w:rPr>
          <w:fldChar w:fldCharType="separate"/>
        </w:r>
        <w:r w:rsidR="009D0109" w:rsidRPr="00D40DC4">
          <w:rPr>
            <w:noProof/>
            <w:webHidden/>
          </w:rPr>
          <w:t>43</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1" w:history="1">
        <w:r w:rsidR="00A65171" w:rsidRPr="00D40DC4">
          <w:rPr>
            <w:rStyle w:val="Hiperhivatkozs"/>
            <w:noProof/>
            <w14:scene3d>
              <w14:camera w14:prst="orthographicFront"/>
              <w14:lightRig w14:rig="threePt" w14:dir="t">
                <w14:rot w14:lat="0" w14:lon="0" w14:rev="0"/>
              </w14:lightRig>
            </w14:scene3d>
          </w:rPr>
          <w:t>4.3.2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Teherviselő képességi vizsgálatok (affordability)</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_Toc436923901 \h </w:instrText>
        </w:r>
        <w:r w:rsidR="00A65171" w:rsidRPr="00D40DC4">
          <w:rPr>
            <w:noProof/>
            <w:webHidden/>
          </w:rPr>
        </w:r>
        <w:r w:rsidR="00A65171" w:rsidRPr="00D40DC4">
          <w:rPr>
            <w:noProof/>
            <w:webHidden/>
          </w:rPr>
          <w:fldChar w:fldCharType="separate"/>
        </w:r>
        <w:r w:rsidR="009D0109" w:rsidRPr="00D40DC4">
          <w:rPr>
            <w:noProof/>
            <w:webHidden/>
          </w:rPr>
          <w:t>45</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02" w:history="1">
        <w:r w:rsidR="00A65171" w:rsidRPr="00D40DC4">
          <w:rPr>
            <w:rStyle w:val="Hiperhivatkozs"/>
            <w:noProof/>
            <w14:scene3d>
              <w14:camera w14:prst="orthographicFront"/>
              <w14:lightRig w14:rig="threePt" w14:dir="t">
                <w14:rot w14:lat="0" w14:lon="0" w14:rev="0"/>
              </w14:lightRig>
            </w14:scene3d>
          </w:rPr>
          <w:t>4.4</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projekt pénzügyi megtérülése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_Toc436923902 \h </w:instrText>
        </w:r>
        <w:r w:rsidR="00A65171" w:rsidRPr="00D40DC4">
          <w:rPr>
            <w:noProof/>
            <w:webHidden/>
          </w:rPr>
        </w:r>
        <w:r w:rsidR="00A65171" w:rsidRPr="00D40DC4">
          <w:rPr>
            <w:noProof/>
            <w:webHidden/>
          </w:rPr>
          <w:fldChar w:fldCharType="separate"/>
        </w:r>
        <w:r w:rsidR="009D0109" w:rsidRPr="00D40DC4">
          <w:rPr>
            <w:noProof/>
            <w:webHidden/>
          </w:rPr>
          <w:t>45</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3" w:history="1">
        <w:r w:rsidR="00A65171" w:rsidRPr="00D40DC4">
          <w:rPr>
            <w:rStyle w:val="Hiperhivatkozs"/>
            <w:noProof/>
            <w14:scene3d>
              <w14:camera w14:prst="orthographicFront"/>
              <w14:lightRig w14:rig="threePt" w14:dir="t">
                <w14:rot w14:lat="0" w14:lon="0" w14:rev="0"/>
              </w14:lightRig>
            </w14:scene3d>
          </w:rPr>
          <w:t>4.4.1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EU-támogatás nélküli esetben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_Toc436923903 \h </w:instrText>
        </w:r>
        <w:r w:rsidR="00A65171" w:rsidRPr="00D40DC4">
          <w:rPr>
            <w:noProof/>
            <w:webHidden/>
          </w:rPr>
        </w:r>
        <w:r w:rsidR="00A65171" w:rsidRPr="00D40DC4">
          <w:rPr>
            <w:noProof/>
            <w:webHidden/>
          </w:rPr>
          <w:fldChar w:fldCharType="separate"/>
        </w:r>
        <w:r w:rsidR="009D0109" w:rsidRPr="00D40DC4">
          <w:rPr>
            <w:noProof/>
            <w:webHidden/>
          </w:rPr>
          <w:t>46</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4" w:history="1">
        <w:r w:rsidR="00A65171" w:rsidRPr="00D40DC4">
          <w:rPr>
            <w:rStyle w:val="Hiperhivatkozs"/>
            <w:noProof/>
            <w14:scene3d>
              <w14:camera w14:prst="orthographicFront"/>
              <w14:lightRig w14:rig="threePt" w14:dir="t">
                <w14:rot w14:lat="0" w14:lon="0" w14:rev="0"/>
              </w14:lightRig>
            </w14:scene3d>
          </w:rPr>
          <w:t>4.4.2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Befektetett tőke megtérülése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_Toc436923904 \h </w:instrText>
        </w:r>
        <w:r w:rsidR="00A65171" w:rsidRPr="00D40DC4">
          <w:rPr>
            <w:noProof/>
            <w:webHidden/>
          </w:rPr>
        </w:r>
        <w:r w:rsidR="00A65171" w:rsidRPr="00D40DC4">
          <w:rPr>
            <w:noProof/>
            <w:webHidden/>
          </w:rPr>
          <w:fldChar w:fldCharType="separate"/>
        </w:r>
        <w:r w:rsidR="009D0109" w:rsidRPr="00D40DC4">
          <w:rPr>
            <w:noProof/>
            <w:webHidden/>
          </w:rPr>
          <w:t>47</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5" w:history="1">
        <w:r w:rsidR="00A65171" w:rsidRPr="00D40DC4">
          <w:rPr>
            <w:rStyle w:val="Hiperhivatkozs"/>
            <w:noProof/>
            <w14:scene3d>
              <w14:camera w14:prst="orthographicFront"/>
              <w14:lightRig w14:rig="threePt" w14:dir="t">
                <w14:rot w14:lat="0" w14:lon="0" w14:rev="0"/>
              </w14:lightRig>
            </w14:scene3d>
          </w:rPr>
          <w:t>4.4.3</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Pénzügyi elemzés a köz- és magánszféra közötti partnerség (PPP) esetén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_Toc436923905 \h </w:instrText>
        </w:r>
        <w:r w:rsidR="00A65171" w:rsidRPr="00D40DC4">
          <w:rPr>
            <w:noProof/>
            <w:webHidden/>
          </w:rPr>
        </w:r>
        <w:r w:rsidR="00A65171" w:rsidRPr="00D40DC4">
          <w:rPr>
            <w:noProof/>
            <w:webHidden/>
          </w:rPr>
          <w:fldChar w:fldCharType="separate"/>
        </w:r>
        <w:r w:rsidR="009D0109" w:rsidRPr="00D40DC4">
          <w:rPr>
            <w:noProof/>
            <w:webHidden/>
          </w:rPr>
          <w:t>48</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06" w:history="1">
        <w:r w:rsidR="00A65171" w:rsidRPr="00D40DC4">
          <w:rPr>
            <w:rStyle w:val="Hiperhivatkozs"/>
            <w:noProof/>
            <w14:scene3d>
              <w14:camera w14:prst="orthographicFront"/>
              <w14:lightRig w14:rig="threePt" w14:dir="t">
                <w14:rot w14:lat="0" w14:lon="0" w14:rev="0"/>
              </w14:lightRig>
            </w14:scene3d>
          </w:rPr>
          <w:t>4.5</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támogatási összeg meghatározása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_Toc436923906 \h </w:instrText>
        </w:r>
        <w:r w:rsidR="00A65171" w:rsidRPr="00D40DC4">
          <w:rPr>
            <w:noProof/>
            <w:webHidden/>
          </w:rPr>
        </w:r>
        <w:r w:rsidR="00A65171" w:rsidRPr="00D40DC4">
          <w:rPr>
            <w:noProof/>
            <w:webHidden/>
          </w:rPr>
          <w:fldChar w:fldCharType="separate"/>
        </w:r>
        <w:r w:rsidR="009D0109" w:rsidRPr="00D40DC4">
          <w:rPr>
            <w:noProof/>
            <w:webHidden/>
          </w:rPr>
          <w:t>50</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7" w:history="1">
        <w:r w:rsidR="00A65171" w:rsidRPr="00D40DC4">
          <w:rPr>
            <w:rStyle w:val="Hiperhivatkozs"/>
            <w:noProof/>
            <w14:scene3d>
              <w14:camera w14:prst="orthographicFront"/>
              <w14:lightRig w14:rig="threePt" w14:dir="t">
                <w14:rot w14:lat="0" w14:lon="0" w14:rev="0"/>
              </w14:lightRig>
            </w14:scene3d>
          </w:rPr>
          <w:t>4.5.1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Támogathatósági feltételek vizsgálata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_Toc436923907 \h </w:instrText>
        </w:r>
        <w:r w:rsidR="00A65171" w:rsidRPr="00D40DC4">
          <w:rPr>
            <w:noProof/>
            <w:webHidden/>
          </w:rPr>
        </w:r>
        <w:r w:rsidR="00A65171" w:rsidRPr="00D40DC4">
          <w:rPr>
            <w:noProof/>
            <w:webHidden/>
          </w:rPr>
          <w:fldChar w:fldCharType="separate"/>
        </w:r>
        <w:r w:rsidR="009D0109" w:rsidRPr="00D40DC4">
          <w:rPr>
            <w:noProof/>
            <w:webHidden/>
          </w:rPr>
          <w:t>50</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08" w:history="1">
        <w:r w:rsidR="00A65171" w:rsidRPr="00D40DC4">
          <w:rPr>
            <w:rStyle w:val="Hiperhivatkozs"/>
            <w:noProof/>
            <w14:scene3d>
              <w14:camera w14:prst="orthographicFront"/>
              <w14:lightRig w14:rig="threePt" w14:dir="t">
                <w14:rot w14:lat="0" w14:lon="0" w14:rev="0"/>
              </w14:lightRig>
            </w14:scene3d>
          </w:rPr>
          <w:t>4.5.2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A támogatási összeg meghatározása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_Toc436923908 \h </w:instrText>
        </w:r>
        <w:r w:rsidR="00A65171" w:rsidRPr="00D40DC4">
          <w:rPr>
            <w:noProof/>
            <w:webHidden/>
          </w:rPr>
        </w:r>
        <w:r w:rsidR="00A65171" w:rsidRPr="00D40DC4">
          <w:rPr>
            <w:noProof/>
            <w:webHidden/>
          </w:rPr>
          <w:fldChar w:fldCharType="separate"/>
        </w:r>
        <w:r w:rsidR="009D0109" w:rsidRPr="00D40DC4">
          <w:rPr>
            <w:noProof/>
            <w:webHidden/>
          </w:rPr>
          <w:t>51</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09" w:history="1">
        <w:r w:rsidR="00A65171" w:rsidRPr="00D40DC4">
          <w:rPr>
            <w:rStyle w:val="Hiperhivatkozs"/>
            <w:noProof/>
            <w14:scene3d>
              <w14:camera w14:prst="orthographicFront"/>
              <w14:lightRig w14:rig="threePt" w14:dir="t">
                <w14:rot w14:lat="0" w14:lon="0" w14:rev="0"/>
              </w14:lightRig>
            </w14:scene3d>
          </w:rPr>
          <w:t>4.6</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Pénzügyi fenntarthatóság vizsgálata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_Toc436923909 \h </w:instrText>
        </w:r>
        <w:r w:rsidR="00A65171" w:rsidRPr="00D40DC4">
          <w:rPr>
            <w:noProof/>
            <w:webHidden/>
          </w:rPr>
        </w:r>
        <w:r w:rsidR="00A65171" w:rsidRPr="00D40DC4">
          <w:rPr>
            <w:noProof/>
            <w:webHidden/>
          </w:rPr>
          <w:fldChar w:fldCharType="separate"/>
        </w:r>
        <w:r w:rsidR="009D0109" w:rsidRPr="00D40DC4">
          <w:rPr>
            <w:noProof/>
            <w:webHidden/>
          </w:rPr>
          <w:t>56</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10" w:history="1">
        <w:r w:rsidR="00A65171" w:rsidRPr="00D40DC4">
          <w:rPr>
            <w:rStyle w:val="Hiperhivatkozs"/>
            <w:noProof/>
            <w14:scene3d>
              <w14:camera w14:prst="orthographicFront"/>
              <w14:lightRig w14:rig="threePt" w14:dir="t">
                <w14:rot w14:lat="0" w14:lon="0" w14:rev="0"/>
              </w14:lightRig>
            </w14:scene3d>
          </w:rPr>
          <w:t>4.6.1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A beruházás finanszírozása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_Toc436923910 \h </w:instrText>
        </w:r>
        <w:r w:rsidR="00A65171" w:rsidRPr="00D40DC4">
          <w:rPr>
            <w:noProof/>
            <w:webHidden/>
          </w:rPr>
        </w:r>
        <w:r w:rsidR="00A65171" w:rsidRPr="00D40DC4">
          <w:rPr>
            <w:noProof/>
            <w:webHidden/>
          </w:rPr>
          <w:fldChar w:fldCharType="separate"/>
        </w:r>
        <w:r w:rsidR="009D0109" w:rsidRPr="00D40DC4">
          <w:rPr>
            <w:noProof/>
            <w:webHidden/>
          </w:rPr>
          <w:t>58</w:t>
        </w:r>
        <w:r w:rsidR="00A65171" w:rsidRPr="00D40DC4">
          <w:rPr>
            <w:noProof/>
            <w:webHidden/>
          </w:rPr>
          <w:fldChar w:fldCharType="end"/>
        </w:r>
      </w:hyperlink>
    </w:p>
    <w:p w:rsidR="00A65171" w:rsidRPr="00D40DC4" w:rsidRDefault="002C4DE0">
      <w:pPr>
        <w:pStyle w:val="TJ1"/>
        <w:tabs>
          <w:tab w:val="left" w:pos="440"/>
        </w:tabs>
        <w:rPr>
          <w:rFonts w:asciiTheme="minorHAnsi" w:eastAsiaTheme="minorEastAsia" w:hAnsiTheme="minorHAnsi"/>
          <w:b w:val="0"/>
          <w:bCs w:val="0"/>
          <w:caps w:val="0"/>
          <w:noProof/>
          <w:sz w:val="22"/>
          <w:szCs w:val="22"/>
          <w:lang w:eastAsia="hu-HU"/>
        </w:rPr>
      </w:pPr>
      <w:hyperlink w:anchor="_Toc436923911" w:history="1">
        <w:r w:rsidR="00A65171" w:rsidRPr="00D40DC4">
          <w:rPr>
            <w:rStyle w:val="Hiperhivatkozs"/>
            <w:noProof/>
            <w14:scene3d>
              <w14:camera w14:prst="orthographicFront"/>
              <w14:lightRig w14:rig="threePt" w14:dir="t">
                <w14:rot w14:lat="0" w14:lon="0" w14:rev="0"/>
              </w14:lightRig>
            </w14:scene3d>
          </w:rPr>
          <w:t>5</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Közgazdasági költség-haszon 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_Toc436923911 \h </w:instrText>
        </w:r>
        <w:r w:rsidR="00A65171" w:rsidRPr="00D40DC4">
          <w:rPr>
            <w:noProof/>
            <w:webHidden/>
          </w:rPr>
        </w:r>
        <w:r w:rsidR="00A65171" w:rsidRPr="00D40DC4">
          <w:rPr>
            <w:noProof/>
            <w:webHidden/>
          </w:rPr>
          <w:fldChar w:fldCharType="separate"/>
        </w:r>
        <w:r w:rsidR="009D0109" w:rsidRPr="00D40DC4">
          <w:rPr>
            <w:noProof/>
            <w:webHidden/>
          </w:rPr>
          <w:t>60</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12" w:history="1">
        <w:r w:rsidR="00A65171" w:rsidRPr="00D40DC4">
          <w:rPr>
            <w:rStyle w:val="Hiperhivatkozs"/>
            <w:noProof/>
            <w14:scene3d>
              <w14:camera w14:prst="orthographicFront"/>
              <w14:lightRig w14:rig="threePt" w14:dir="t">
                <w14:rot w14:lat="0" w14:lon="0" w14:rev="0"/>
              </w14:lightRig>
            </w14:scene3d>
          </w:rPr>
          <w:t>5.1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projekt közgazdasági költségeinek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_Toc436923912 \h </w:instrText>
        </w:r>
        <w:r w:rsidR="00A65171" w:rsidRPr="00D40DC4">
          <w:rPr>
            <w:noProof/>
            <w:webHidden/>
          </w:rPr>
        </w:r>
        <w:r w:rsidR="00A65171" w:rsidRPr="00D40DC4">
          <w:rPr>
            <w:noProof/>
            <w:webHidden/>
          </w:rPr>
          <w:fldChar w:fldCharType="separate"/>
        </w:r>
        <w:r w:rsidR="009D0109" w:rsidRPr="00D40DC4">
          <w:rPr>
            <w:noProof/>
            <w:webHidden/>
          </w:rPr>
          <w:t>60</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13" w:history="1">
        <w:r w:rsidR="00A65171" w:rsidRPr="00D40DC4">
          <w:rPr>
            <w:rStyle w:val="Hiperhivatkozs"/>
            <w:noProof/>
            <w14:scene3d>
              <w14:camera w14:prst="orthographicFront"/>
              <w14:lightRig w14:rig="threePt" w14:dir="t">
                <w14:rot w14:lat="0" w14:lon="0" w14:rev="0"/>
              </w14:lightRig>
            </w14:scene3d>
          </w:rPr>
          <w:t>5.1.1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Költségvetési (fiskális) kiigazítások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_Toc436923913 \h </w:instrText>
        </w:r>
        <w:r w:rsidR="00A65171" w:rsidRPr="00D40DC4">
          <w:rPr>
            <w:noProof/>
            <w:webHidden/>
          </w:rPr>
        </w:r>
        <w:r w:rsidR="00A65171" w:rsidRPr="00D40DC4">
          <w:rPr>
            <w:noProof/>
            <w:webHidden/>
          </w:rPr>
          <w:fldChar w:fldCharType="separate"/>
        </w:r>
        <w:r w:rsidR="009D0109" w:rsidRPr="00D40DC4">
          <w:rPr>
            <w:noProof/>
            <w:webHidden/>
          </w:rPr>
          <w:t>60</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14" w:history="1">
        <w:r w:rsidR="00A65171" w:rsidRPr="00D40DC4">
          <w:rPr>
            <w:rStyle w:val="Hiperhivatkozs"/>
            <w:noProof/>
            <w14:scene3d>
              <w14:camera w14:prst="orthographicFront"/>
              <w14:lightRig w14:rig="threePt" w14:dir="t">
                <w14:rot w14:lat="0" w14:lon="0" w14:rev="0"/>
              </w14:lightRig>
            </w14:scene3d>
          </w:rPr>
          <w:t>5.1.2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Piaci árról való áttérés elszámoló árra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_Toc436923914 \h </w:instrText>
        </w:r>
        <w:r w:rsidR="00A65171" w:rsidRPr="00D40DC4">
          <w:rPr>
            <w:noProof/>
            <w:webHidden/>
          </w:rPr>
        </w:r>
        <w:r w:rsidR="00A65171" w:rsidRPr="00D40DC4">
          <w:rPr>
            <w:noProof/>
            <w:webHidden/>
          </w:rPr>
          <w:fldChar w:fldCharType="separate"/>
        </w:r>
        <w:r w:rsidR="009D0109" w:rsidRPr="00D40DC4">
          <w:rPr>
            <w:noProof/>
            <w:webHidden/>
          </w:rPr>
          <w:t>61</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15" w:history="1">
        <w:r w:rsidR="00A65171" w:rsidRPr="00D40DC4">
          <w:rPr>
            <w:rStyle w:val="Hiperhivatkozs"/>
            <w:noProof/>
            <w14:scene3d>
              <w14:camera w14:prst="orthographicFront"/>
              <w14:lightRig w14:rig="threePt" w14:dir="t">
                <w14:rot w14:lat="0" w14:lon="0" w14:rev="0"/>
              </w14:lightRig>
            </w14:scene3d>
          </w:rPr>
          <w:t>5.2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A projekt hasznainak becslése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_Toc436923915 \h </w:instrText>
        </w:r>
        <w:r w:rsidR="00A65171" w:rsidRPr="00D40DC4">
          <w:rPr>
            <w:noProof/>
            <w:webHidden/>
          </w:rPr>
        </w:r>
        <w:r w:rsidR="00A65171" w:rsidRPr="00D40DC4">
          <w:rPr>
            <w:noProof/>
            <w:webHidden/>
          </w:rPr>
          <w:fldChar w:fldCharType="separate"/>
        </w:r>
        <w:r w:rsidR="009D0109" w:rsidRPr="00D40DC4">
          <w:rPr>
            <w:noProof/>
            <w:webHidden/>
          </w:rPr>
          <w:t>62</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16" w:history="1">
        <w:r w:rsidR="00A65171" w:rsidRPr="00D40DC4">
          <w:rPr>
            <w:rStyle w:val="Hiperhivatkozs"/>
            <w:noProof/>
            <w14:scene3d>
              <w14:camera w14:prst="orthographicFront"/>
              <w14:lightRig w14:rig="threePt" w14:dir="t">
                <w14:rot w14:lat="0" w14:lon="0" w14:rev="0"/>
              </w14:lightRig>
            </w14:scene3d>
          </w:rPr>
          <w:t>5.3</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Közgazdasági teljesítménymutatók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_Toc436923916 \h </w:instrText>
        </w:r>
        <w:r w:rsidR="00A65171" w:rsidRPr="00D40DC4">
          <w:rPr>
            <w:noProof/>
            <w:webHidden/>
          </w:rPr>
        </w:r>
        <w:r w:rsidR="00A65171" w:rsidRPr="00D40DC4">
          <w:rPr>
            <w:noProof/>
            <w:webHidden/>
          </w:rPr>
          <w:fldChar w:fldCharType="separate"/>
        </w:r>
        <w:r w:rsidR="009D0109" w:rsidRPr="00D40DC4">
          <w:rPr>
            <w:noProof/>
            <w:webHidden/>
          </w:rPr>
          <w:t>63</w:t>
        </w:r>
        <w:r w:rsidR="00A65171" w:rsidRPr="00D40DC4">
          <w:rPr>
            <w:noProof/>
            <w:webHidden/>
          </w:rPr>
          <w:fldChar w:fldCharType="end"/>
        </w:r>
      </w:hyperlink>
    </w:p>
    <w:p w:rsidR="00A65171" w:rsidRPr="00D40DC4" w:rsidRDefault="002C4DE0">
      <w:pPr>
        <w:pStyle w:val="TJ1"/>
        <w:tabs>
          <w:tab w:val="left" w:pos="440"/>
        </w:tabs>
        <w:rPr>
          <w:rFonts w:asciiTheme="minorHAnsi" w:eastAsiaTheme="minorEastAsia" w:hAnsiTheme="minorHAnsi"/>
          <w:b w:val="0"/>
          <w:bCs w:val="0"/>
          <w:caps w:val="0"/>
          <w:noProof/>
          <w:sz w:val="22"/>
          <w:szCs w:val="22"/>
          <w:lang w:eastAsia="hu-HU"/>
        </w:rPr>
      </w:pPr>
      <w:hyperlink w:anchor="_Toc436923917" w:history="1">
        <w:r w:rsidR="00A65171" w:rsidRPr="00D40DC4">
          <w:rPr>
            <w:rStyle w:val="Hiperhivatkozs"/>
            <w:noProof/>
            <w14:scene3d>
              <w14:camera w14:prst="orthographicFront"/>
              <w14:lightRig w14:rig="threePt" w14:dir="t">
                <w14:rot w14:lat="0" w14:lon="0" w14:rev="0"/>
              </w14:lightRig>
            </w14:scene3d>
          </w:rPr>
          <w:t>6</w:t>
        </w:r>
        <w:r w:rsidR="00A65171" w:rsidRPr="00D40DC4">
          <w:rPr>
            <w:rFonts w:asciiTheme="minorHAnsi" w:eastAsiaTheme="minorEastAsia" w:hAnsiTheme="minorHAnsi"/>
            <w:b w:val="0"/>
            <w:bCs w:val="0"/>
            <w:caps w:val="0"/>
            <w:noProof/>
            <w:sz w:val="22"/>
            <w:szCs w:val="22"/>
            <w:lang w:eastAsia="hu-HU"/>
          </w:rPr>
          <w:tab/>
        </w:r>
        <w:r w:rsidR="00A65171" w:rsidRPr="00D40DC4">
          <w:rPr>
            <w:rStyle w:val="Hiperhivatkozs"/>
            <w:noProof/>
          </w:rPr>
          <w:t>Érzékenységvizsgálat és kockázatelemzés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_Toc436923917 \h </w:instrText>
        </w:r>
        <w:r w:rsidR="00A65171" w:rsidRPr="00D40DC4">
          <w:rPr>
            <w:noProof/>
            <w:webHidden/>
          </w:rPr>
        </w:r>
        <w:r w:rsidR="00A65171" w:rsidRPr="00D40DC4">
          <w:rPr>
            <w:noProof/>
            <w:webHidden/>
          </w:rPr>
          <w:fldChar w:fldCharType="separate"/>
        </w:r>
        <w:r w:rsidR="009D0109" w:rsidRPr="00D40DC4">
          <w:rPr>
            <w:noProof/>
            <w:webHidden/>
          </w:rPr>
          <w:t>65</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18" w:history="1">
        <w:r w:rsidR="00A65171" w:rsidRPr="00D40DC4">
          <w:rPr>
            <w:rStyle w:val="Hiperhivatkozs"/>
            <w:noProof/>
            <w14:scene3d>
              <w14:camera w14:prst="orthographicFront"/>
              <w14:lightRig w14:rig="threePt" w14:dir="t">
                <w14:rot w14:lat="0" w14:lon="0" w14:rev="0"/>
              </w14:lightRig>
            </w14:scene3d>
          </w:rPr>
          <w:t>6.1</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Érzékenységvizsgálat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_Toc436923918 \h </w:instrText>
        </w:r>
        <w:r w:rsidR="00A65171" w:rsidRPr="00D40DC4">
          <w:rPr>
            <w:noProof/>
            <w:webHidden/>
          </w:rPr>
        </w:r>
        <w:r w:rsidR="00A65171" w:rsidRPr="00D40DC4">
          <w:rPr>
            <w:noProof/>
            <w:webHidden/>
          </w:rPr>
          <w:fldChar w:fldCharType="separate"/>
        </w:r>
        <w:r w:rsidR="009D0109" w:rsidRPr="00D40DC4">
          <w:rPr>
            <w:noProof/>
            <w:webHidden/>
          </w:rPr>
          <w:t>65</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19" w:history="1">
        <w:r w:rsidR="00A65171" w:rsidRPr="00D40DC4">
          <w:rPr>
            <w:rStyle w:val="Hiperhivatkozs"/>
            <w:noProof/>
            <w14:scene3d>
              <w14:camera w14:prst="orthographicFront"/>
              <w14:lightRig w14:rig="threePt" w14:dir="t">
                <w14:rot w14:lat="0" w14:lon="0" w14:rev="0"/>
              </w14:lightRig>
            </w14:scene3d>
          </w:rPr>
          <w:t>6.1.1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Jelentős tényezők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_Toc436923919 \h </w:instrText>
        </w:r>
        <w:r w:rsidR="00A65171" w:rsidRPr="00D40DC4">
          <w:rPr>
            <w:noProof/>
            <w:webHidden/>
          </w:rPr>
        </w:r>
        <w:r w:rsidR="00A65171" w:rsidRPr="00D40DC4">
          <w:rPr>
            <w:noProof/>
            <w:webHidden/>
          </w:rPr>
          <w:fldChar w:fldCharType="separate"/>
        </w:r>
        <w:r w:rsidR="009D0109" w:rsidRPr="00D40DC4">
          <w:rPr>
            <w:noProof/>
            <w:webHidden/>
          </w:rPr>
          <w:t>65</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0" w:history="1">
        <w:r w:rsidR="00A65171" w:rsidRPr="00D40DC4">
          <w:rPr>
            <w:rStyle w:val="Hiperhivatkozs"/>
            <w:noProof/>
            <w14:scene3d>
              <w14:camera w14:prst="orthographicFront"/>
              <w14:lightRig w14:rig="threePt" w14:dir="t">
                <w14:rot w14:lat="0" w14:lon="0" w14:rev="0"/>
              </w14:lightRig>
            </w14:scene3d>
          </w:rPr>
          <w:t>6.1.2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A projekt kritikus változóinak azonosítása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_Toc436923920 \h </w:instrText>
        </w:r>
        <w:r w:rsidR="00A65171" w:rsidRPr="00D40DC4">
          <w:rPr>
            <w:noProof/>
            <w:webHidden/>
          </w:rPr>
        </w:r>
        <w:r w:rsidR="00A65171" w:rsidRPr="00D40DC4">
          <w:rPr>
            <w:noProof/>
            <w:webHidden/>
          </w:rPr>
          <w:fldChar w:fldCharType="separate"/>
        </w:r>
        <w:r w:rsidR="009D0109" w:rsidRPr="00D40DC4">
          <w:rPr>
            <w:noProof/>
            <w:webHidden/>
          </w:rPr>
          <w:t>66</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1" w:history="1">
        <w:r w:rsidR="00A65171" w:rsidRPr="00D40DC4">
          <w:rPr>
            <w:rStyle w:val="Hiperhivatkozs"/>
            <w:noProof/>
            <w14:scene3d>
              <w14:camera w14:prst="orthographicFront"/>
              <w14:lightRig w14:rig="threePt" w14:dir="t">
                <w14:rot w14:lat="0" w14:lon="0" w14:rev="0"/>
              </w14:lightRig>
            </w14:scene3d>
          </w:rPr>
          <w:t>6.1.3</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A küszöbértékek számítása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_Toc436923921 \h </w:instrText>
        </w:r>
        <w:r w:rsidR="00A65171" w:rsidRPr="00D40DC4">
          <w:rPr>
            <w:noProof/>
            <w:webHidden/>
          </w:rPr>
        </w:r>
        <w:r w:rsidR="00A65171" w:rsidRPr="00D40DC4">
          <w:rPr>
            <w:noProof/>
            <w:webHidden/>
          </w:rPr>
          <w:fldChar w:fldCharType="separate"/>
        </w:r>
        <w:r w:rsidR="009D0109" w:rsidRPr="00D40DC4">
          <w:rPr>
            <w:noProof/>
            <w:webHidden/>
          </w:rPr>
          <w:t>67</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2" w:history="1">
        <w:r w:rsidR="00A65171" w:rsidRPr="00D40DC4">
          <w:rPr>
            <w:rStyle w:val="Hiperhivatkozs"/>
            <w:noProof/>
            <w14:scene3d>
              <w14:camera w14:prst="orthographicFront"/>
              <w14:lightRig w14:rig="threePt" w14:dir="t">
                <w14:rot w14:lat="0" w14:lon="0" w14:rev="0"/>
              </w14:lightRig>
            </w14:scene3d>
          </w:rPr>
          <w:t>6.1.4</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Forgatókönyv-elemzés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_Toc436923922 \h </w:instrText>
        </w:r>
        <w:r w:rsidR="00A65171" w:rsidRPr="00D40DC4">
          <w:rPr>
            <w:noProof/>
            <w:webHidden/>
          </w:rPr>
        </w:r>
        <w:r w:rsidR="00A65171" w:rsidRPr="00D40DC4">
          <w:rPr>
            <w:noProof/>
            <w:webHidden/>
          </w:rPr>
          <w:fldChar w:fldCharType="separate"/>
        </w:r>
        <w:r w:rsidR="009D0109" w:rsidRPr="00D40DC4">
          <w:rPr>
            <w:noProof/>
            <w:webHidden/>
          </w:rPr>
          <w:t>67</w:t>
        </w:r>
        <w:r w:rsidR="00A65171" w:rsidRPr="00D40DC4">
          <w:rPr>
            <w:noProof/>
            <w:webHidden/>
          </w:rPr>
          <w:fldChar w:fldCharType="end"/>
        </w:r>
      </w:hyperlink>
    </w:p>
    <w:p w:rsidR="00A65171" w:rsidRPr="00D40DC4" w:rsidRDefault="002C4DE0">
      <w:pPr>
        <w:pStyle w:val="TJ2"/>
        <w:tabs>
          <w:tab w:val="left" w:pos="880"/>
          <w:tab w:val="right" w:leader="dot" w:pos="9062"/>
        </w:tabs>
        <w:rPr>
          <w:rFonts w:asciiTheme="minorHAnsi" w:eastAsiaTheme="minorEastAsia" w:hAnsiTheme="minorHAnsi"/>
          <w:smallCaps w:val="0"/>
          <w:noProof/>
          <w:sz w:val="22"/>
          <w:szCs w:val="22"/>
          <w:lang w:eastAsia="hu-HU"/>
        </w:rPr>
      </w:pPr>
      <w:hyperlink w:anchor="_Toc436923923" w:history="1">
        <w:r w:rsidR="00A65171" w:rsidRPr="00D40DC4">
          <w:rPr>
            <w:rStyle w:val="Hiperhivatkozs"/>
            <w:noProof/>
            <w14:scene3d>
              <w14:camera w14:prst="orthographicFront"/>
              <w14:lightRig w14:rig="threePt" w14:dir="t">
                <w14:rot w14:lat="0" w14:lon="0" w14:rev="0"/>
              </w14:lightRig>
            </w14:scene3d>
          </w:rPr>
          <w:t>6.2</w:t>
        </w:r>
        <w:r w:rsidR="00A65171" w:rsidRPr="00D40DC4">
          <w:rPr>
            <w:rFonts w:asciiTheme="minorHAnsi" w:eastAsiaTheme="minorEastAsia" w:hAnsiTheme="minorHAnsi"/>
            <w:smallCaps w:val="0"/>
            <w:noProof/>
            <w:sz w:val="22"/>
            <w:szCs w:val="22"/>
            <w:lang w:eastAsia="hu-HU"/>
          </w:rPr>
          <w:tab/>
        </w:r>
        <w:r w:rsidR="00A65171" w:rsidRPr="00D40DC4">
          <w:rPr>
            <w:rStyle w:val="Hiperhivatkozs"/>
            <w:noProof/>
          </w:rPr>
          <w:t>Kockázatelemzés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_Toc436923923 \h </w:instrText>
        </w:r>
        <w:r w:rsidR="00A65171" w:rsidRPr="00D40DC4">
          <w:rPr>
            <w:noProof/>
            <w:webHidden/>
          </w:rPr>
        </w:r>
        <w:r w:rsidR="00A65171" w:rsidRPr="00D40DC4">
          <w:rPr>
            <w:noProof/>
            <w:webHidden/>
          </w:rPr>
          <w:fldChar w:fldCharType="separate"/>
        </w:r>
        <w:r w:rsidR="009D0109" w:rsidRPr="00D40DC4">
          <w:rPr>
            <w:noProof/>
            <w:webHidden/>
          </w:rPr>
          <w:t>67</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4" w:history="1">
        <w:r w:rsidR="00A65171" w:rsidRPr="00D40DC4">
          <w:rPr>
            <w:rStyle w:val="Hiperhivatkozs"/>
            <w:noProof/>
            <w14:scene3d>
              <w14:camera w14:prst="orthographicFront"/>
              <w14:lightRig w14:rig="threePt" w14:dir="t">
                <w14:rot w14:lat="0" w14:lon="0" w14:rev="0"/>
              </w14:lightRig>
            </w14:scene3d>
          </w:rPr>
          <w:t>6.2.1</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Kvalitatív kockázatelemzés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_Toc436923924 \h </w:instrText>
        </w:r>
        <w:r w:rsidR="00A65171" w:rsidRPr="00D40DC4">
          <w:rPr>
            <w:noProof/>
            <w:webHidden/>
          </w:rPr>
        </w:r>
        <w:r w:rsidR="00A65171" w:rsidRPr="00D40DC4">
          <w:rPr>
            <w:noProof/>
            <w:webHidden/>
          </w:rPr>
          <w:fldChar w:fldCharType="separate"/>
        </w:r>
        <w:r w:rsidR="009D0109" w:rsidRPr="00D40DC4">
          <w:rPr>
            <w:noProof/>
            <w:webHidden/>
          </w:rPr>
          <w:t>67</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5" w:history="1">
        <w:r w:rsidR="00A65171" w:rsidRPr="00D40DC4">
          <w:rPr>
            <w:rStyle w:val="Hiperhivatkozs"/>
            <w:noProof/>
            <w14:scene3d>
              <w14:camera w14:prst="orthographicFront"/>
              <w14:lightRig w14:rig="threePt" w14:dir="t">
                <w14:rot w14:lat="0" w14:lon="0" w14:rev="0"/>
              </w14:lightRig>
            </w14:scene3d>
          </w:rPr>
          <w:t>6.2.2</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Kvantitatív elemzés</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_Toc436923925 \h </w:instrText>
        </w:r>
        <w:r w:rsidR="00A65171" w:rsidRPr="00D40DC4">
          <w:rPr>
            <w:noProof/>
            <w:webHidden/>
          </w:rPr>
        </w:r>
        <w:r w:rsidR="00A65171" w:rsidRPr="00D40DC4">
          <w:rPr>
            <w:noProof/>
            <w:webHidden/>
          </w:rPr>
          <w:fldChar w:fldCharType="separate"/>
        </w:r>
        <w:r w:rsidR="009D0109" w:rsidRPr="00D40DC4">
          <w:rPr>
            <w:noProof/>
            <w:webHidden/>
          </w:rPr>
          <w:t>72</w:t>
        </w:r>
        <w:r w:rsidR="00A65171" w:rsidRPr="00D40DC4">
          <w:rPr>
            <w:noProof/>
            <w:webHidden/>
          </w:rPr>
          <w:fldChar w:fldCharType="end"/>
        </w:r>
      </w:hyperlink>
    </w:p>
    <w:p w:rsidR="00A65171" w:rsidRPr="00D40DC4" w:rsidRDefault="002C4DE0">
      <w:pPr>
        <w:pStyle w:val="TJ3"/>
        <w:tabs>
          <w:tab w:val="left" w:pos="1320"/>
          <w:tab w:val="right" w:leader="dot" w:pos="9062"/>
        </w:tabs>
        <w:rPr>
          <w:rFonts w:asciiTheme="minorHAnsi" w:eastAsiaTheme="minorEastAsia" w:hAnsiTheme="minorHAnsi"/>
          <w:i w:val="0"/>
          <w:iCs w:val="0"/>
          <w:noProof/>
          <w:sz w:val="22"/>
          <w:szCs w:val="22"/>
          <w:lang w:eastAsia="hu-HU"/>
        </w:rPr>
      </w:pPr>
      <w:hyperlink w:anchor="_Toc436923926" w:history="1">
        <w:r w:rsidR="00A65171" w:rsidRPr="00D40DC4">
          <w:rPr>
            <w:rStyle w:val="Hiperhivatkozs"/>
            <w:noProof/>
            <w14:scene3d>
              <w14:camera w14:prst="orthographicFront"/>
              <w14:lightRig w14:rig="threePt" w14:dir="t">
                <w14:rot w14:lat="0" w14:lon="0" w14:rev="0"/>
              </w14:lightRig>
            </w14:scene3d>
          </w:rPr>
          <w:t>6.2.3</w:t>
        </w:r>
        <w:r w:rsidR="00A65171" w:rsidRPr="00D40DC4">
          <w:rPr>
            <w:rFonts w:asciiTheme="minorHAnsi" w:eastAsiaTheme="minorEastAsia" w:hAnsiTheme="minorHAnsi"/>
            <w:i w:val="0"/>
            <w:iCs w:val="0"/>
            <w:noProof/>
            <w:sz w:val="22"/>
            <w:szCs w:val="22"/>
            <w:lang w:eastAsia="hu-HU"/>
          </w:rPr>
          <w:tab/>
        </w:r>
        <w:r w:rsidR="00A65171" w:rsidRPr="00D40DC4">
          <w:rPr>
            <w:rStyle w:val="Hiperhivatkozs"/>
            <w:noProof/>
          </w:rPr>
          <w:t>Kockázatkezelési stratégia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_Toc436923926 \h </w:instrText>
        </w:r>
        <w:r w:rsidR="00A65171" w:rsidRPr="00D40DC4">
          <w:rPr>
            <w:noProof/>
            <w:webHidden/>
          </w:rPr>
        </w:r>
        <w:r w:rsidR="00A65171" w:rsidRPr="00D40DC4">
          <w:rPr>
            <w:noProof/>
            <w:webHidden/>
          </w:rPr>
          <w:fldChar w:fldCharType="separate"/>
        </w:r>
        <w:r w:rsidR="009D0109" w:rsidRPr="00D40DC4">
          <w:rPr>
            <w:noProof/>
            <w:webHidden/>
          </w:rPr>
          <w:t>74</w:t>
        </w:r>
        <w:r w:rsidR="00A65171" w:rsidRPr="00D40DC4">
          <w:rPr>
            <w:noProof/>
            <w:webHidden/>
          </w:rPr>
          <w:fldChar w:fldCharType="end"/>
        </w:r>
      </w:hyperlink>
    </w:p>
    <w:p w:rsidR="00B21B87" w:rsidRPr="00D40DC4" w:rsidRDefault="00B21B87">
      <w:pPr>
        <w:spacing w:after="160" w:line="259" w:lineRule="auto"/>
        <w:jc w:val="left"/>
        <w:rPr>
          <w:rFonts w:cs="Arial"/>
        </w:rPr>
      </w:pPr>
      <w:r w:rsidRPr="00D40DC4">
        <w:rPr>
          <w:rFonts w:cs="Arial"/>
        </w:rPr>
        <w:fldChar w:fldCharType="end"/>
      </w:r>
    </w:p>
    <w:p w:rsidR="00B21B87" w:rsidRPr="00D40DC4" w:rsidRDefault="00B21B87">
      <w:pPr>
        <w:spacing w:after="160" w:line="259" w:lineRule="auto"/>
        <w:jc w:val="left"/>
        <w:rPr>
          <w:rFonts w:cs="Arial"/>
          <w:b/>
          <w:sz w:val="24"/>
        </w:rPr>
      </w:pPr>
      <w:r w:rsidRPr="00D40DC4">
        <w:rPr>
          <w:rFonts w:cs="Arial"/>
          <w:b/>
          <w:sz w:val="24"/>
        </w:rPr>
        <w:t>Ábrajegyzék</w:t>
      </w:r>
    </w:p>
    <w:p w:rsidR="00A65171" w:rsidRPr="00D40DC4" w:rsidRDefault="00B21B87">
      <w:pPr>
        <w:pStyle w:val="brajegyzk"/>
        <w:tabs>
          <w:tab w:val="right" w:leader="dot" w:pos="9062"/>
        </w:tabs>
        <w:rPr>
          <w:rFonts w:asciiTheme="minorHAnsi" w:eastAsiaTheme="minorEastAsia" w:hAnsiTheme="minorHAnsi" w:cstheme="minorBidi"/>
          <w:noProof/>
          <w:sz w:val="22"/>
          <w:szCs w:val="22"/>
          <w:lang w:val="hu-HU"/>
        </w:rPr>
      </w:pPr>
      <w:r w:rsidRPr="00D40DC4">
        <w:rPr>
          <w:rFonts w:cs="Arial"/>
        </w:rPr>
        <w:fldChar w:fldCharType="begin"/>
      </w:r>
      <w:r w:rsidRPr="00D40DC4">
        <w:rPr>
          <w:rFonts w:cs="Arial"/>
        </w:rPr>
        <w:instrText xml:space="preserve"> TOC \h \z \c "ábra" </w:instrText>
      </w:r>
      <w:r w:rsidRPr="00D40DC4">
        <w:rPr>
          <w:rFonts w:cs="Arial"/>
        </w:rPr>
        <w:fldChar w:fldCharType="separate"/>
      </w:r>
      <w:hyperlink w:anchor="_Toc436923927" w:history="1">
        <w:r w:rsidR="00A65171" w:rsidRPr="00D40DC4">
          <w:rPr>
            <w:rStyle w:val="Hiperhivatkozs"/>
            <w:noProof/>
          </w:rPr>
          <w:t>1. ábra: A költség-haszon elemzés elemei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_Toc436923927 \h </w:instrText>
        </w:r>
        <w:r w:rsidR="00A65171" w:rsidRPr="00D40DC4">
          <w:rPr>
            <w:noProof/>
            <w:webHidden/>
          </w:rPr>
        </w:r>
        <w:r w:rsidR="00A65171" w:rsidRPr="00D40DC4">
          <w:rPr>
            <w:noProof/>
            <w:webHidden/>
          </w:rPr>
          <w:fldChar w:fldCharType="separate"/>
        </w:r>
        <w:r w:rsidR="007B4938" w:rsidRPr="00D40DC4">
          <w:rPr>
            <w:noProof/>
            <w:webHidden/>
          </w:rPr>
          <w:t>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28" w:history="1">
        <w:r w:rsidR="00A65171" w:rsidRPr="00D40DC4">
          <w:rPr>
            <w:rStyle w:val="Hiperhivatkozs"/>
            <w:noProof/>
          </w:rPr>
          <w:t>3. ábra: A változatelemzés során alkalmazandó módszerek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_Toc436923928 \h </w:instrText>
        </w:r>
        <w:r w:rsidR="00A65171" w:rsidRPr="00D40DC4">
          <w:rPr>
            <w:noProof/>
            <w:webHidden/>
          </w:rPr>
        </w:r>
        <w:r w:rsidR="00A65171" w:rsidRPr="00D40DC4">
          <w:rPr>
            <w:noProof/>
            <w:webHidden/>
          </w:rPr>
          <w:fldChar w:fldCharType="separate"/>
        </w:r>
        <w:r w:rsidR="007B4938" w:rsidRPr="00D40DC4">
          <w:rPr>
            <w:noProof/>
            <w:webHidden/>
          </w:rPr>
          <w:t>23</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29" w:history="1">
        <w:r w:rsidR="00A65171" w:rsidRPr="00D40DC4">
          <w:rPr>
            <w:rStyle w:val="Hiperhivatkozs"/>
            <w:noProof/>
          </w:rPr>
          <w:t>4. ábra: A Költség-hatékonyság elemzés folyamata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_Toc436923929 \h </w:instrText>
        </w:r>
        <w:r w:rsidR="00A65171" w:rsidRPr="00D40DC4">
          <w:rPr>
            <w:noProof/>
            <w:webHidden/>
          </w:rPr>
        </w:r>
        <w:r w:rsidR="00A65171" w:rsidRPr="00D40DC4">
          <w:rPr>
            <w:noProof/>
            <w:webHidden/>
          </w:rPr>
          <w:fldChar w:fldCharType="separate"/>
        </w:r>
        <w:r w:rsidR="007B4938" w:rsidRPr="00D40DC4">
          <w:rPr>
            <w:noProof/>
            <w:webHidden/>
          </w:rPr>
          <w:t>25</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0" w:history="1">
        <w:r w:rsidR="00A65171" w:rsidRPr="00D40DC4">
          <w:rPr>
            <w:rStyle w:val="Hiperhivatkozs"/>
            <w:noProof/>
          </w:rPr>
          <w:t>5. ábra: A pénzügyi elemzés részletezettségének és a támogatási összeg meghatározásának módja a projekt jellemzőinek függvényében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_Toc436923930 \h </w:instrText>
        </w:r>
        <w:r w:rsidR="00A65171" w:rsidRPr="00D40DC4">
          <w:rPr>
            <w:noProof/>
            <w:webHidden/>
          </w:rPr>
        </w:r>
        <w:r w:rsidR="00A65171" w:rsidRPr="00D40DC4">
          <w:rPr>
            <w:noProof/>
            <w:webHidden/>
          </w:rPr>
          <w:fldChar w:fldCharType="separate"/>
        </w:r>
        <w:r w:rsidR="007B4938" w:rsidRPr="00D40DC4">
          <w:rPr>
            <w:noProof/>
            <w:webHidden/>
          </w:rPr>
          <w:t>31</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1" w:history="1">
        <w:r w:rsidR="00A65171" w:rsidRPr="00D40DC4">
          <w:rPr>
            <w:rStyle w:val="Hiperhivatkozs"/>
            <w:rFonts w:cs="Arial"/>
            <w:noProof/>
          </w:rPr>
          <w:t>6. ábra: A működési költségek csoportosítása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_Toc436923931 \h </w:instrText>
        </w:r>
        <w:r w:rsidR="00A65171" w:rsidRPr="00D40DC4">
          <w:rPr>
            <w:noProof/>
            <w:webHidden/>
          </w:rPr>
        </w:r>
        <w:r w:rsidR="00A65171" w:rsidRPr="00D40DC4">
          <w:rPr>
            <w:noProof/>
            <w:webHidden/>
          </w:rPr>
          <w:fldChar w:fldCharType="separate"/>
        </w:r>
        <w:r w:rsidR="007B4938" w:rsidRPr="00D40DC4">
          <w:rPr>
            <w:noProof/>
            <w:webHidden/>
          </w:rPr>
          <w:t>38</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2" w:history="1">
        <w:r w:rsidR="00A65171" w:rsidRPr="00D40DC4">
          <w:rPr>
            <w:rStyle w:val="Hiperhivatkozs"/>
            <w:noProof/>
          </w:rPr>
          <w:t>8. ábra: Közvetlen hatótényezők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_Toc436923932 \h </w:instrText>
        </w:r>
        <w:r w:rsidR="00A65171" w:rsidRPr="00D40DC4">
          <w:rPr>
            <w:noProof/>
            <w:webHidden/>
          </w:rPr>
        </w:r>
        <w:r w:rsidR="00A65171" w:rsidRPr="00D40DC4">
          <w:rPr>
            <w:noProof/>
            <w:webHidden/>
          </w:rPr>
          <w:fldChar w:fldCharType="separate"/>
        </w:r>
        <w:r w:rsidR="007B4938" w:rsidRPr="00D40DC4">
          <w:rPr>
            <w:noProof/>
            <w:webHidden/>
          </w:rPr>
          <w:t>64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3" w:history="1">
        <w:r w:rsidR="00A65171" w:rsidRPr="00D40DC4">
          <w:rPr>
            <w:rStyle w:val="Hiperhivatkozs"/>
            <w:noProof/>
          </w:rPr>
          <w:t>9. ábra: Kockázati szintek az adott infrastruktúra projekt különböző fázisaiban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_Toc436923933 \h </w:instrText>
        </w:r>
        <w:r w:rsidR="00A65171" w:rsidRPr="00D40DC4">
          <w:rPr>
            <w:noProof/>
            <w:webHidden/>
          </w:rPr>
        </w:r>
        <w:r w:rsidR="00A65171" w:rsidRPr="00D40DC4">
          <w:rPr>
            <w:noProof/>
            <w:webHidden/>
          </w:rPr>
          <w:fldChar w:fldCharType="separate"/>
        </w:r>
        <w:r w:rsidR="007B4938" w:rsidRPr="00D40DC4">
          <w:rPr>
            <w:noProof/>
            <w:webHidden/>
          </w:rPr>
          <w:t>74</w:t>
        </w:r>
        <w:r w:rsidR="00A65171" w:rsidRPr="00D40DC4">
          <w:rPr>
            <w:noProof/>
            <w:webHidden/>
          </w:rPr>
          <w:fldChar w:fldCharType="end"/>
        </w:r>
      </w:hyperlink>
    </w:p>
    <w:p w:rsidR="00B21B87" w:rsidRPr="00D40DC4" w:rsidRDefault="00B21B87">
      <w:pPr>
        <w:spacing w:after="160" w:line="259" w:lineRule="auto"/>
        <w:jc w:val="left"/>
        <w:rPr>
          <w:rFonts w:cs="Arial"/>
        </w:rPr>
      </w:pPr>
      <w:r w:rsidRPr="00D40DC4">
        <w:rPr>
          <w:rFonts w:cs="Arial"/>
        </w:rPr>
        <w:fldChar w:fldCharType="end"/>
      </w:r>
    </w:p>
    <w:p w:rsidR="00B21B87" w:rsidRPr="00D40DC4" w:rsidRDefault="00B21B87" w:rsidP="00B21B87">
      <w:pPr>
        <w:spacing w:after="160" w:line="259" w:lineRule="auto"/>
        <w:jc w:val="left"/>
        <w:rPr>
          <w:rFonts w:cs="Arial"/>
          <w:b/>
          <w:sz w:val="24"/>
        </w:rPr>
      </w:pPr>
      <w:r w:rsidRPr="00D40DC4">
        <w:rPr>
          <w:rFonts w:cs="Arial"/>
          <w:b/>
          <w:sz w:val="24"/>
        </w:rPr>
        <w:t>Táblázatjegyzék</w:t>
      </w:r>
    </w:p>
    <w:p w:rsidR="00A65171" w:rsidRPr="00D40DC4" w:rsidRDefault="00B21B87">
      <w:pPr>
        <w:pStyle w:val="brajegyzk"/>
        <w:tabs>
          <w:tab w:val="right" w:leader="dot" w:pos="9062"/>
        </w:tabs>
        <w:rPr>
          <w:rFonts w:asciiTheme="minorHAnsi" w:eastAsiaTheme="minorEastAsia" w:hAnsiTheme="minorHAnsi" w:cstheme="minorBidi"/>
          <w:noProof/>
          <w:sz w:val="22"/>
          <w:szCs w:val="22"/>
          <w:lang w:val="hu-HU"/>
        </w:rPr>
      </w:pPr>
      <w:r w:rsidRPr="00D40DC4">
        <w:rPr>
          <w:rFonts w:cs="Arial"/>
        </w:rPr>
        <w:fldChar w:fldCharType="begin"/>
      </w:r>
      <w:r w:rsidRPr="00D40DC4">
        <w:rPr>
          <w:rFonts w:cs="Arial"/>
        </w:rPr>
        <w:instrText xml:space="preserve"> TOC \h \z \t "Táblázat" \c </w:instrText>
      </w:r>
      <w:r w:rsidRPr="00D40DC4">
        <w:rPr>
          <w:rFonts w:cs="Arial"/>
        </w:rPr>
        <w:fldChar w:fldCharType="separate"/>
      </w:r>
      <w:hyperlink w:anchor="_Toc436923934" w:history="1">
        <w:r w:rsidR="00A65171" w:rsidRPr="00D40DC4">
          <w:rPr>
            <w:rStyle w:val="Hiperhivatkozs"/>
            <w:noProof/>
          </w:rPr>
          <w:t>1. táblázat: A CBA dokumentum felépítése és tartalmi követelményei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_Toc436923934 \h </w:instrText>
        </w:r>
        <w:r w:rsidR="00A65171" w:rsidRPr="00D40DC4">
          <w:rPr>
            <w:noProof/>
            <w:webHidden/>
          </w:rPr>
        </w:r>
        <w:r w:rsidR="00A65171" w:rsidRPr="00D40DC4">
          <w:rPr>
            <w:noProof/>
            <w:webHidden/>
          </w:rPr>
          <w:fldChar w:fldCharType="separate"/>
        </w:r>
        <w:r w:rsidR="007B4938" w:rsidRPr="00D40DC4">
          <w:rPr>
            <w:noProof/>
            <w:webHidden/>
          </w:rPr>
          <w:t>10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5" w:history="1">
        <w:r w:rsidR="00A65171" w:rsidRPr="00D40DC4">
          <w:rPr>
            <w:rStyle w:val="Hiperhivatkozs"/>
            <w:noProof/>
          </w:rPr>
          <w:t>2. táblázat: Fogyasztói árszínvonal változása (éves átlag, előző évhez képest):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_Toc436923935 \h </w:instrText>
        </w:r>
        <w:r w:rsidR="00A65171" w:rsidRPr="00D40DC4">
          <w:rPr>
            <w:noProof/>
            <w:webHidden/>
          </w:rPr>
        </w:r>
        <w:r w:rsidR="00A65171" w:rsidRPr="00D40DC4">
          <w:rPr>
            <w:noProof/>
            <w:webHidden/>
          </w:rPr>
          <w:fldChar w:fldCharType="separate"/>
        </w:r>
        <w:r w:rsidR="007B4938" w:rsidRPr="00D40DC4">
          <w:rPr>
            <w:noProof/>
            <w:webHidden/>
          </w:rPr>
          <w:t>19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6" w:history="1">
        <w:r w:rsidR="00A65171" w:rsidRPr="00D40DC4">
          <w:rPr>
            <w:rStyle w:val="Hiperhivatkozs"/>
            <w:noProof/>
          </w:rPr>
          <w:t>3. táblázat: Előrebecsült GDP/fő növekedési értékek (időszakos évi átlag, %)</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_Toc436923936 \h </w:instrText>
        </w:r>
        <w:r w:rsidR="00A65171" w:rsidRPr="00D40DC4">
          <w:rPr>
            <w:noProof/>
            <w:webHidden/>
          </w:rPr>
        </w:r>
        <w:r w:rsidR="00A65171" w:rsidRPr="00D40DC4">
          <w:rPr>
            <w:noProof/>
            <w:webHidden/>
          </w:rPr>
          <w:fldChar w:fldCharType="separate"/>
        </w:r>
        <w:r w:rsidR="007B4938" w:rsidRPr="00D40DC4">
          <w:rPr>
            <w:noProof/>
            <w:webHidden/>
          </w:rPr>
          <w:t>19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7" w:history="1">
        <w:r w:rsidR="00A65171" w:rsidRPr="00D40DC4">
          <w:rPr>
            <w:rStyle w:val="Hiperhivatkozs"/>
            <w:noProof/>
          </w:rPr>
          <w:t>4. táblázat: Többszempontú értékelés eredményeinek bemutatására vonatkozó példa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_Toc436923937 \h </w:instrText>
        </w:r>
        <w:r w:rsidR="00A65171" w:rsidRPr="00D40DC4">
          <w:rPr>
            <w:noProof/>
            <w:webHidden/>
          </w:rPr>
        </w:r>
        <w:r w:rsidR="00A65171" w:rsidRPr="00D40DC4">
          <w:rPr>
            <w:noProof/>
            <w:webHidden/>
          </w:rPr>
          <w:fldChar w:fldCharType="separate"/>
        </w:r>
        <w:r w:rsidR="007B4938" w:rsidRPr="00D40DC4">
          <w:rPr>
            <w:noProof/>
            <w:webHidden/>
          </w:rPr>
          <w:t>28</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8" w:history="1">
        <w:r w:rsidR="00A65171" w:rsidRPr="00D40DC4">
          <w:rPr>
            <w:rStyle w:val="Hiperhivatkozs"/>
            <w:noProof/>
          </w:rPr>
          <w:t>5. táblázat: A pénzügyi elemzés áttekintése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_Toc436923938 \h </w:instrText>
        </w:r>
        <w:r w:rsidR="00A65171" w:rsidRPr="00D40DC4">
          <w:rPr>
            <w:noProof/>
            <w:webHidden/>
          </w:rPr>
        </w:r>
        <w:r w:rsidR="00A65171" w:rsidRPr="00D40DC4">
          <w:rPr>
            <w:noProof/>
            <w:webHidden/>
          </w:rPr>
          <w:fldChar w:fldCharType="separate"/>
        </w:r>
        <w:r w:rsidR="007B4938" w:rsidRPr="00D40DC4">
          <w:rPr>
            <w:noProof/>
            <w:webHidden/>
          </w:rPr>
          <w:t>32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39" w:history="1">
        <w:r w:rsidR="00A65171" w:rsidRPr="00D40DC4">
          <w:rPr>
            <w:rStyle w:val="Hiperhivatkozs"/>
            <w:noProof/>
          </w:rPr>
          <w:t>6. táblázat: A beruházási költségek nagyprojekteknél elvárt szerkezete a 2015/207/EU végrehajtási rendelet C.1 (7) pontja alapján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_Toc436923939 \h </w:instrText>
        </w:r>
        <w:r w:rsidR="00A65171" w:rsidRPr="00D40DC4">
          <w:rPr>
            <w:noProof/>
            <w:webHidden/>
          </w:rPr>
        </w:r>
        <w:r w:rsidR="00A65171" w:rsidRPr="00D40DC4">
          <w:rPr>
            <w:noProof/>
            <w:webHidden/>
          </w:rPr>
          <w:fldChar w:fldCharType="separate"/>
        </w:r>
        <w:r w:rsidR="007B4938" w:rsidRPr="00D40DC4">
          <w:rPr>
            <w:noProof/>
            <w:webHidden/>
          </w:rPr>
          <w:t>34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0" w:history="1">
        <w:r w:rsidR="00A65171" w:rsidRPr="00D40DC4">
          <w:rPr>
            <w:rStyle w:val="Hiperhivatkozs"/>
            <w:noProof/>
          </w:rPr>
          <w:t>7. táblázat: A beruházási költségek felbontása elszámolhatóság és időbeli felmerülés szerint (Ft)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_Toc436923940 \h </w:instrText>
        </w:r>
        <w:r w:rsidR="00A65171" w:rsidRPr="00D40DC4">
          <w:rPr>
            <w:noProof/>
            <w:webHidden/>
          </w:rPr>
        </w:r>
        <w:r w:rsidR="00A65171" w:rsidRPr="00D40DC4">
          <w:rPr>
            <w:noProof/>
            <w:webHidden/>
          </w:rPr>
          <w:fldChar w:fldCharType="separate"/>
        </w:r>
        <w:r w:rsidR="007B4938" w:rsidRPr="00D40DC4">
          <w:rPr>
            <w:noProof/>
            <w:webHidden/>
          </w:rPr>
          <w:t>35</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1" w:history="1">
        <w:r w:rsidR="00A65171" w:rsidRPr="00D40DC4">
          <w:rPr>
            <w:rStyle w:val="Hiperhivatkozs"/>
            <w:noProof/>
          </w:rPr>
          <w:t>8. táblázat: Fajlagos üzemeltetési és karbantartási költségei (Ft/naturália, projektes eset)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_Toc436923941 \h </w:instrText>
        </w:r>
        <w:r w:rsidR="00A65171" w:rsidRPr="00D40DC4">
          <w:rPr>
            <w:noProof/>
            <w:webHidden/>
          </w:rPr>
        </w:r>
        <w:r w:rsidR="00A65171" w:rsidRPr="00D40DC4">
          <w:rPr>
            <w:noProof/>
            <w:webHidden/>
          </w:rPr>
          <w:fldChar w:fldCharType="separate"/>
        </w:r>
        <w:r w:rsidR="007B4938" w:rsidRPr="00D40DC4">
          <w:rPr>
            <w:noProof/>
            <w:webHidden/>
          </w:rPr>
          <w:t>39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2" w:history="1">
        <w:r w:rsidR="00A65171" w:rsidRPr="00D40DC4">
          <w:rPr>
            <w:rStyle w:val="Hiperhivatkozs"/>
            <w:noProof/>
          </w:rPr>
          <w:t>9. táblázat: Teljesítmények az egyes években (naturália)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_Toc436923942 \h </w:instrText>
        </w:r>
        <w:r w:rsidR="00A65171" w:rsidRPr="00D40DC4">
          <w:rPr>
            <w:noProof/>
            <w:webHidden/>
          </w:rPr>
        </w:r>
        <w:r w:rsidR="00A65171" w:rsidRPr="00D40DC4">
          <w:rPr>
            <w:noProof/>
            <w:webHidden/>
          </w:rPr>
          <w:fldChar w:fldCharType="separate"/>
        </w:r>
        <w:r w:rsidR="007B4938" w:rsidRPr="00D40DC4">
          <w:rPr>
            <w:noProof/>
            <w:webHidden/>
          </w:rPr>
          <w:t>39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3" w:history="1">
        <w:r w:rsidR="00A65171" w:rsidRPr="00D40DC4">
          <w:rPr>
            <w:rStyle w:val="Hiperhivatkozs"/>
            <w:noProof/>
          </w:rPr>
          <w:t>10. táblázat: Üzemeltetési, karbantartási költségek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_Toc436923943 \h </w:instrText>
        </w:r>
        <w:r w:rsidR="00A65171" w:rsidRPr="00D40DC4">
          <w:rPr>
            <w:noProof/>
            <w:webHidden/>
          </w:rPr>
        </w:r>
        <w:r w:rsidR="00A65171" w:rsidRPr="00D40DC4">
          <w:rPr>
            <w:noProof/>
            <w:webHidden/>
          </w:rPr>
          <w:fldChar w:fldCharType="separate"/>
        </w:r>
        <w:r w:rsidR="007B4938" w:rsidRPr="00D40DC4">
          <w:rPr>
            <w:noProof/>
            <w:webHidden/>
          </w:rPr>
          <w:t>40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4" w:history="1">
        <w:r w:rsidR="00A65171" w:rsidRPr="00D40DC4">
          <w:rPr>
            <w:rStyle w:val="Hiperhivatkozs"/>
            <w:noProof/>
          </w:rPr>
          <w:t>11. táblázat: A projekt keretében aktivált eszközök értéke és hasznos élettartama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_Toc436923944 \h </w:instrText>
        </w:r>
        <w:r w:rsidR="00A65171" w:rsidRPr="00D40DC4">
          <w:rPr>
            <w:noProof/>
            <w:webHidden/>
          </w:rPr>
        </w:r>
        <w:r w:rsidR="00A65171" w:rsidRPr="00D40DC4">
          <w:rPr>
            <w:noProof/>
            <w:webHidden/>
          </w:rPr>
          <w:fldChar w:fldCharType="separate"/>
        </w:r>
        <w:r w:rsidR="007B4938" w:rsidRPr="00D40DC4">
          <w:rPr>
            <w:noProof/>
            <w:webHidden/>
          </w:rPr>
          <w:t>40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5" w:history="1">
        <w:r w:rsidR="00A65171" w:rsidRPr="00D40DC4">
          <w:rPr>
            <w:rStyle w:val="Hiperhivatkozs"/>
            <w:noProof/>
          </w:rPr>
          <w:t>12. táblázat: A pótlási költség összegzése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_Toc436923945 \h </w:instrText>
        </w:r>
        <w:r w:rsidR="00A65171" w:rsidRPr="00D40DC4">
          <w:rPr>
            <w:noProof/>
            <w:webHidden/>
          </w:rPr>
        </w:r>
        <w:r w:rsidR="00A65171" w:rsidRPr="00D40DC4">
          <w:rPr>
            <w:noProof/>
            <w:webHidden/>
          </w:rPr>
          <w:fldChar w:fldCharType="separate"/>
        </w:r>
        <w:r w:rsidR="007B4938" w:rsidRPr="00D40DC4">
          <w:rPr>
            <w:noProof/>
            <w:webHidden/>
          </w:rPr>
          <w:t>41</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6" w:history="1">
        <w:r w:rsidR="00A65171" w:rsidRPr="00D40DC4">
          <w:rPr>
            <w:rStyle w:val="Hiperhivatkozs"/>
            <w:noProof/>
          </w:rPr>
          <w:t>13. táblázat: Maradványérték számítása a hátralevő hasznos élettartam alatt termelődő nettó cash-flow alapján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_Toc436923946 \h </w:instrText>
        </w:r>
        <w:r w:rsidR="00A65171" w:rsidRPr="00D40DC4">
          <w:rPr>
            <w:noProof/>
            <w:webHidden/>
          </w:rPr>
        </w:r>
        <w:r w:rsidR="00A65171" w:rsidRPr="00D40DC4">
          <w:rPr>
            <w:noProof/>
            <w:webHidden/>
          </w:rPr>
          <w:fldChar w:fldCharType="separate"/>
        </w:r>
        <w:r w:rsidR="007B4938" w:rsidRPr="00D40DC4">
          <w:rPr>
            <w:noProof/>
            <w:webHidden/>
          </w:rPr>
          <w:t>42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7" w:history="1">
        <w:r w:rsidR="00A65171" w:rsidRPr="00D40DC4">
          <w:rPr>
            <w:rStyle w:val="Hiperhivatkozs"/>
            <w:noProof/>
          </w:rPr>
          <w:t>14. táblázat: Maradványérték számítása a hasznos élettartam alapján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_Toc436923947 \h </w:instrText>
        </w:r>
        <w:r w:rsidR="00A65171" w:rsidRPr="00D40DC4">
          <w:rPr>
            <w:noProof/>
            <w:webHidden/>
          </w:rPr>
        </w:r>
        <w:r w:rsidR="00A65171" w:rsidRPr="00D40DC4">
          <w:rPr>
            <w:noProof/>
            <w:webHidden/>
          </w:rPr>
          <w:fldChar w:fldCharType="separate"/>
        </w:r>
        <w:r w:rsidR="007B4938" w:rsidRPr="00D40DC4">
          <w:rPr>
            <w:noProof/>
            <w:webHidden/>
          </w:rPr>
          <w:t>42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8" w:history="1">
        <w:r w:rsidR="00A65171" w:rsidRPr="00D40DC4">
          <w:rPr>
            <w:rStyle w:val="Hiperhivatkozs"/>
            <w:noProof/>
          </w:rPr>
          <w:t>15. táblázat: Maradványérték számítása az eszközök vizsgált időtartam végi értékesítése esetén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_Toc436923948 \h </w:instrText>
        </w:r>
        <w:r w:rsidR="00A65171" w:rsidRPr="00D40DC4">
          <w:rPr>
            <w:noProof/>
            <w:webHidden/>
          </w:rPr>
        </w:r>
        <w:r w:rsidR="00A65171" w:rsidRPr="00D40DC4">
          <w:rPr>
            <w:noProof/>
            <w:webHidden/>
          </w:rPr>
          <w:fldChar w:fldCharType="separate"/>
        </w:r>
        <w:r w:rsidR="007B4938" w:rsidRPr="00D40DC4">
          <w:rPr>
            <w:noProof/>
            <w:webHidden/>
          </w:rPr>
          <w:t>42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49" w:history="1">
        <w:r w:rsidR="00A65171" w:rsidRPr="00D40DC4">
          <w:rPr>
            <w:rStyle w:val="Hiperhivatkozs"/>
            <w:noProof/>
          </w:rPr>
          <w:t>16. táblázat: A projekt fajlagos bevételi pénzáramai (Ft/naturália)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_Toc436923949 \h </w:instrText>
        </w:r>
        <w:r w:rsidR="00A65171" w:rsidRPr="00D40DC4">
          <w:rPr>
            <w:noProof/>
            <w:webHidden/>
          </w:rPr>
        </w:r>
        <w:r w:rsidR="00A65171" w:rsidRPr="00D40DC4">
          <w:rPr>
            <w:noProof/>
            <w:webHidden/>
          </w:rPr>
          <w:fldChar w:fldCharType="separate"/>
        </w:r>
        <w:r w:rsidR="007B4938" w:rsidRPr="00D40DC4">
          <w:rPr>
            <w:noProof/>
            <w:webHidden/>
          </w:rPr>
          <w:t>44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0" w:history="1">
        <w:r w:rsidR="00A65171" w:rsidRPr="00D40DC4">
          <w:rPr>
            <w:rStyle w:val="Hiperhivatkozs"/>
            <w:noProof/>
          </w:rPr>
          <w:t>17. táblázat: A projekt fajlagos bevételekkel kapcsolatos teljesítményei (naturália)</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_Toc436923950 \h </w:instrText>
        </w:r>
        <w:r w:rsidR="00A65171" w:rsidRPr="00D40DC4">
          <w:rPr>
            <w:noProof/>
            <w:webHidden/>
          </w:rPr>
        </w:r>
        <w:r w:rsidR="00A65171" w:rsidRPr="00D40DC4">
          <w:rPr>
            <w:noProof/>
            <w:webHidden/>
          </w:rPr>
          <w:fldChar w:fldCharType="separate"/>
        </w:r>
        <w:r w:rsidR="007B4938" w:rsidRPr="00D40DC4">
          <w:rPr>
            <w:noProof/>
            <w:webHidden/>
          </w:rPr>
          <w:t>44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1" w:history="1">
        <w:r w:rsidR="00A65171" w:rsidRPr="00D40DC4">
          <w:rPr>
            <w:rStyle w:val="Hiperhivatkozs"/>
            <w:noProof/>
          </w:rPr>
          <w:t>18. táblázat: A projekt bevételi pénzáramai (Ft)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_Toc436923951 \h </w:instrText>
        </w:r>
        <w:r w:rsidR="00A65171" w:rsidRPr="00D40DC4">
          <w:rPr>
            <w:noProof/>
            <w:webHidden/>
          </w:rPr>
        </w:r>
        <w:r w:rsidR="00A65171" w:rsidRPr="00D40DC4">
          <w:rPr>
            <w:noProof/>
            <w:webHidden/>
          </w:rPr>
          <w:fldChar w:fldCharType="separate"/>
        </w:r>
        <w:r w:rsidR="007B4938" w:rsidRPr="00D40DC4">
          <w:rPr>
            <w:noProof/>
            <w:webHidden/>
          </w:rPr>
          <w:t>44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2" w:history="1">
        <w:r w:rsidR="00A65171" w:rsidRPr="00D40DC4">
          <w:rPr>
            <w:rStyle w:val="Hiperhivatkozs"/>
            <w:noProof/>
          </w:rPr>
          <w:t>19. táblázat: A beruházás megtérülési számítása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_Toc436923952 \h </w:instrText>
        </w:r>
        <w:r w:rsidR="00A65171" w:rsidRPr="00D40DC4">
          <w:rPr>
            <w:noProof/>
            <w:webHidden/>
          </w:rPr>
        </w:r>
        <w:r w:rsidR="00A65171" w:rsidRPr="00D40DC4">
          <w:rPr>
            <w:noProof/>
            <w:webHidden/>
          </w:rPr>
          <w:fldChar w:fldCharType="separate"/>
        </w:r>
        <w:r w:rsidR="007B4938" w:rsidRPr="00D40DC4">
          <w:rPr>
            <w:noProof/>
            <w:webHidden/>
          </w:rPr>
          <w:t>46</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3" w:history="1">
        <w:r w:rsidR="00A65171" w:rsidRPr="00D40DC4">
          <w:rPr>
            <w:rStyle w:val="Hiperhivatkozs"/>
            <w:noProof/>
          </w:rPr>
          <w:t>20. táblázat: A befektetett tőke megtérülésének számítása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_Toc436923953 \h </w:instrText>
        </w:r>
        <w:r w:rsidR="00A65171" w:rsidRPr="00D40DC4">
          <w:rPr>
            <w:noProof/>
            <w:webHidden/>
          </w:rPr>
        </w:r>
        <w:r w:rsidR="00A65171" w:rsidRPr="00D40DC4">
          <w:rPr>
            <w:noProof/>
            <w:webHidden/>
          </w:rPr>
          <w:fldChar w:fldCharType="separate"/>
        </w:r>
        <w:r w:rsidR="007B4938" w:rsidRPr="00D40DC4">
          <w:rPr>
            <w:noProof/>
            <w:webHidden/>
          </w:rPr>
          <w:t>47</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4" w:history="1">
        <w:r w:rsidR="00A65171" w:rsidRPr="00D40DC4">
          <w:rPr>
            <w:rStyle w:val="Hiperhivatkozs"/>
            <w:noProof/>
          </w:rPr>
          <w:t>21. táblázat: Pénzügyi elemzés köz-és magánszféra közötti partnerség esetén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_Toc436923954 \h </w:instrText>
        </w:r>
        <w:r w:rsidR="00A65171" w:rsidRPr="00D40DC4">
          <w:rPr>
            <w:noProof/>
            <w:webHidden/>
          </w:rPr>
        </w:r>
        <w:r w:rsidR="00A65171" w:rsidRPr="00D40DC4">
          <w:rPr>
            <w:noProof/>
            <w:webHidden/>
          </w:rPr>
          <w:fldChar w:fldCharType="separate"/>
        </w:r>
        <w:r w:rsidR="007B4938" w:rsidRPr="00D40DC4">
          <w:rPr>
            <w:noProof/>
            <w:webHidden/>
          </w:rPr>
          <w:t>50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5" w:history="1">
        <w:r w:rsidR="00A65171" w:rsidRPr="00D40DC4">
          <w:rPr>
            <w:rStyle w:val="Hiperhivatkozs"/>
            <w:noProof/>
          </w:rPr>
          <w:t>22. táblázat: A támogatás számítása nettó bevételt termelő, 1 millió EUR feletti projektek esetén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_Toc436923955 \h </w:instrText>
        </w:r>
        <w:r w:rsidR="00A65171" w:rsidRPr="00D40DC4">
          <w:rPr>
            <w:noProof/>
            <w:webHidden/>
          </w:rPr>
        </w:r>
        <w:r w:rsidR="00A65171" w:rsidRPr="00D40DC4">
          <w:rPr>
            <w:noProof/>
            <w:webHidden/>
          </w:rPr>
          <w:fldChar w:fldCharType="separate"/>
        </w:r>
        <w:r w:rsidR="007B4938" w:rsidRPr="00D40DC4">
          <w:rPr>
            <w:noProof/>
            <w:webHidden/>
          </w:rPr>
          <w:t>51</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6" w:history="1">
        <w:r w:rsidR="00A65171" w:rsidRPr="00D40DC4">
          <w:rPr>
            <w:rStyle w:val="Hiperhivatkozs"/>
            <w:noProof/>
          </w:rPr>
          <w:t>23. táblázat: A támogatási összeg meghatározásához szükséges ágazati átalányok</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_Toc436923956 \h </w:instrText>
        </w:r>
        <w:r w:rsidR="00A65171" w:rsidRPr="00D40DC4">
          <w:rPr>
            <w:noProof/>
            <w:webHidden/>
          </w:rPr>
        </w:r>
        <w:r w:rsidR="00A65171" w:rsidRPr="00D40DC4">
          <w:rPr>
            <w:noProof/>
            <w:webHidden/>
          </w:rPr>
          <w:fldChar w:fldCharType="separate"/>
        </w:r>
        <w:r w:rsidR="007B4938" w:rsidRPr="00D40DC4">
          <w:rPr>
            <w:noProof/>
            <w:webHidden/>
          </w:rPr>
          <w:t>52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7" w:history="1">
        <w:r w:rsidR="00A65171" w:rsidRPr="00D40DC4">
          <w:rPr>
            <w:rStyle w:val="Hiperhivatkozs"/>
            <w:noProof/>
          </w:rPr>
          <w:t>24. táblázat: A támogatási összeg meghatározása átalánnyal</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_Toc436923957 \h </w:instrText>
        </w:r>
        <w:r w:rsidR="00A65171" w:rsidRPr="00D40DC4">
          <w:rPr>
            <w:noProof/>
            <w:webHidden/>
          </w:rPr>
        </w:r>
        <w:r w:rsidR="00A65171" w:rsidRPr="00D40DC4">
          <w:rPr>
            <w:noProof/>
            <w:webHidden/>
          </w:rPr>
          <w:fldChar w:fldCharType="separate"/>
        </w:r>
        <w:r w:rsidR="007B4938" w:rsidRPr="00D40DC4">
          <w:rPr>
            <w:noProof/>
            <w:webHidden/>
          </w:rPr>
          <w:t>52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8" w:history="1">
        <w:r w:rsidR="00A65171" w:rsidRPr="00D40DC4">
          <w:rPr>
            <w:rStyle w:val="Hiperhivatkozs"/>
            <w:noProof/>
          </w:rPr>
          <w:t>21. táblázat: Támogatási összeg meghatározása intézkedési szintű maximális társfinanszírozási ráta alkalmazásával</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_Toc436923958 \h </w:instrText>
        </w:r>
        <w:r w:rsidR="00A65171" w:rsidRPr="00D40DC4">
          <w:rPr>
            <w:noProof/>
            <w:webHidden/>
          </w:rPr>
        </w:r>
        <w:r w:rsidR="00A65171" w:rsidRPr="00D40DC4">
          <w:rPr>
            <w:noProof/>
            <w:webHidden/>
          </w:rPr>
          <w:fldChar w:fldCharType="separate"/>
        </w:r>
        <w:r w:rsidR="007B4938" w:rsidRPr="00D40DC4">
          <w:rPr>
            <w:noProof/>
            <w:webHidden/>
          </w:rPr>
          <w:t>53</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59" w:history="1">
        <w:r w:rsidR="00A65171" w:rsidRPr="00D40DC4">
          <w:rPr>
            <w:rStyle w:val="Hiperhivatkozs"/>
            <w:rFonts w:cs="Arial"/>
            <w:noProof/>
          </w:rPr>
          <w:t xml:space="preserve">26. táblázat: A támogatás számítása </w:t>
        </w:r>
        <w:r w:rsidR="00A65171" w:rsidRPr="00D40DC4">
          <w:rPr>
            <w:rStyle w:val="Hiperhivatkozs"/>
            <w:noProof/>
          </w:rPr>
          <w:t>az elszámolható költség és a megadott támogatási arány szorzatával</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_Toc436923959 \h </w:instrText>
        </w:r>
        <w:r w:rsidR="00A65171" w:rsidRPr="00D40DC4">
          <w:rPr>
            <w:noProof/>
            <w:webHidden/>
          </w:rPr>
        </w:r>
        <w:r w:rsidR="00A65171" w:rsidRPr="00D40DC4">
          <w:rPr>
            <w:noProof/>
            <w:webHidden/>
          </w:rPr>
          <w:fldChar w:fldCharType="separate"/>
        </w:r>
        <w:r w:rsidR="007B4938" w:rsidRPr="00D40DC4">
          <w:rPr>
            <w:noProof/>
            <w:webHidden/>
          </w:rPr>
          <w:t>54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0" w:history="1">
        <w:r w:rsidR="00A65171" w:rsidRPr="00D40DC4">
          <w:rPr>
            <w:rStyle w:val="Hiperhivatkozs"/>
            <w:noProof/>
          </w:rPr>
          <w:t>27. táblázat: A támogatás meghatározása működési eredményt figyelembe vevő állami támogatások esetén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_Toc436923960 \h </w:instrText>
        </w:r>
        <w:r w:rsidR="00A65171" w:rsidRPr="00D40DC4">
          <w:rPr>
            <w:noProof/>
            <w:webHidden/>
          </w:rPr>
        </w:r>
        <w:r w:rsidR="00A65171" w:rsidRPr="00D40DC4">
          <w:rPr>
            <w:noProof/>
            <w:webHidden/>
          </w:rPr>
          <w:fldChar w:fldCharType="separate"/>
        </w:r>
        <w:r w:rsidR="007B4938" w:rsidRPr="00D40DC4">
          <w:rPr>
            <w:noProof/>
            <w:webHidden/>
          </w:rPr>
          <w:t>54</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1" w:history="1">
        <w:r w:rsidR="00A65171" w:rsidRPr="00D40DC4">
          <w:rPr>
            <w:rStyle w:val="Hiperhivatkozs"/>
            <w:noProof/>
          </w:rPr>
          <w:t>28. táblázat: A támogatás összegzése több támogatási szabály alá tartozó projektnél</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_Toc436923961 \h </w:instrText>
        </w:r>
        <w:r w:rsidR="00A65171" w:rsidRPr="00D40DC4">
          <w:rPr>
            <w:noProof/>
            <w:webHidden/>
          </w:rPr>
        </w:r>
        <w:r w:rsidR="00A65171" w:rsidRPr="00D40DC4">
          <w:rPr>
            <w:noProof/>
            <w:webHidden/>
          </w:rPr>
          <w:fldChar w:fldCharType="separate"/>
        </w:r>
        <w:r w:rsidR="007B4938" w:rsidRPr="00D40DC4">
          <w:rPr>
            <w:noProof/>
            <w:webHidden/>
          </w:rPr>
          <w:t>55</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2" w:history="1">
        <w:r w:rsidR="00A65171" w:rsidRPr="00D40DC4">
          <w:rPr>
            <w:rStyle w:val="Hiperhivatkozs"/>
            <w:noProof/>
          </w:rPr>
          <w:t>29. táblázat: A projekt pénzügyi fenntarthatóságának vizsgálat (projektes eset és/vagy különbözet, Ft)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_Toc436923962 \h </w:instrText>
        </w:r>
        <w:r w:rsidR="00A65171" w:rsidRPr="00D40DC4">
          <w:rPr>
            <w:noProof/>
            <w:webHidden/>
          </w:rPr>
        </w:r>
        <w:r w:rsidR="00A65171" w:rsidRPr="00D40DC4">
          <w:rPr>
            <w:noProof/>
            <w:webHidden/>
          </w:rPr>
          <w:fldChar w:fldCharType="separate"/>
        </w:r>
        <w:r w:rsidR="007B4938" w:rsidRPr="00D40DC4">
          <w:rPr>
            <w:noProof/>
            <w:webHidden/>
          </w:rPr>
          <w:t>56</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3" w:history="1">
        <w:r w:rsidR="00A65171" w:rsidRPr="00D40DC4">
          <w:rPr>
            <w:rStyle w:val="Hiperhivatkozs"/>
            <w:noProof/>
          </w:rPr>
          <w:t>30. táblázat: Az üzemeltető pénzügyi fenntarthatóságának vizsgálat (projektes eset, Ft)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_Toc436923963 \h </w:instrText>
        </w:r>
        <w:r w:rsidR="00A65171" w:rsidRPr="00D40DC4">
          <w:rPr>
            <w:noProof/>
            <w:webHidden/>
          </w:rPr>
        </w:r>
        <w:r w:rsidR="00A65171" w:rsidRPr="00D40DC4">
          <w:rPr>
            <w:noProof/>
            <w:webHidden/>
          </w:rPr>
          <w:fldChar w:fldCharType="separate"/>
        </w:r>
        <w:r w:rsidR="007B4938" w:rsidRPr="00D40DC4">
          <w:rPr>
            <w:noProof/>
            <w:webHidden/>
          </w:rPr>
          <w:t>56</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4" w:history="1">
        <w:r w:rsidR="00A65171" w:rsidRPr="00D40DC4">
          <w:rPr>
            <w:rStyle w:val="Hiperhivatkozs"/>
            <w:noProof/>
          </w:rPr>
          <w:t>31. táblázat: Közgazdasági költségek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_Toc436923964 \h </w:instrText>
        </w:r>
        <w:r w:rsidR="00A65171" w:rsidRPr="00D40DC4">
          <w:rPr>
            <w:noProof/>
            <w:webHidden/>
          </w:rPr>
        </w:r>
        <w:r w:rsidR="00A65171" w:rsidRPr="00D40DC4">
          <w:rPr>
            <w:noProof/>
            <w:webHidden/>
          </w:rPr>
          <w:fldChar w:fldCharType="separate"/>
        </w:r>
        <w:r w:rsidR="007B4938" w:rsidRPr="00D40DC4">
          <w:rPr>
            <w:noProof/>
            <w:webHidden/>
          </w:rPr>
          <w:t>61</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5" w:history="1">
        <w:r w:rsidR="00A65171" w:rsidRPr="00D40DC4">
          <w:rPr>
            <w:rStyle w:val="Hiperhivatkozs"/>
            <w:noProof/>
          </w:rPr>
          <w:t>32. táblázat: Közgazdasági hasznok összegzése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_Toc436923965 \h </w:instrText>
        </w:r>
        <w:r w:rsidR="00A65171" w:rsidRPr="00D40DC4">
          <w:rPr>
            <w:noProof/>
            <w:webHidden/>
          </w:rPr>
        </w:r>
        <w:r w:rsidR="00A65171" w:rsidRPr="00D40DC4">
          <w:rPr>
            <w:noProof/>
            <w:webHidden/>
          </w:rPr>
          <w:fldChar w:fldCharType="separate"/>
        </w:r>
        <w:r w:rsidR="007B4938" w:rsidRPr="00D40DC4">
          <w:rPr>
            <w:noProof/>
            <w:webHidden/>
          </w:rPr>
          <w:t>62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6" w:history="1">
        <w:r w:rsidR="00A65171" w:rsidRPr="00D40DC4">
          <w:rPr>
            <w:rStyle w:val="Hiperhivatkozs"/>
            <w:noProof/>
          </w:rPr>
          <w:t>33. táblázat: Közgazdasági teljesítménymutatók (Ft, különbözet)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_Toc436923966 \h </w:instrText>
        </w:r>
        <w:r w:rsidR="00A65171" w:rsidRPr="00D40DC4">
          <w:rPr>
            <w:noProof/>
            <w:webHidden/>
          </w:rPr>
        </w:r>
        <w:r w:rsidR="00A65171" w:rsidRPr="00D40DC4">
          <w:rPr>
            <w:noProof/>
            <w:webHidden/>
          </w:rPr>
          <w:fldChar w:fldCharType="separate"/>
        </w:r>
        <w:r w:rsidR="007B4938" w:rsidRPr="00D40DC4">
          <w:rPr>
            <w:noProof/>
            <w:webHidden/>
          </w:rPr>
          <w:t>63</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7" w:history="1">
        <w:r w:rsidR="00A65171" w:rsidRPr="00D40DC4">
          <w:rPr>
            <w:rStyle w:val="Hiperhivatkozs"/>
            <w:noProof/>
          </w:rPr>
          <w:t>34. táblázat: Az érzékenységvizsgálat eredménye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_Toc436923967 \h </w:instrText>
        </w:r>
        <w:r w:rsidR="00A65171" w:rsidRPr="00D40DC4">
          <w:rPr>
            <w:noProof/>
            <w:webHidden/>
          </w:rPr>
        </w:r>
        <w:r w:rsidR="00A65171" w:rsidRPr="00D40DC4">
          <w:rPr>
            <w:noProof/>
            <w:webHidden/>
          </w:rPr>
          <w:fldChar w:fldCharType="separate"/>
        </w:r>
        <w:r w:rsidR="007B4938" w:rsidRPr="00D40DC4">
          <w:rPr>
            <w:noProof/>
            <w:webHidden/>
          </w:rPr>
          <w:t>65</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8" w:history="1">
        <w:r w:rsidR="00A65171" w:rsidRPr="00D40DC4">
          <w:rPr>
            <w:rStyle w:val="Hiperhivatkozs"/>
            <w:noProof/>
          </w:rPr>
          <w:t>35. táblázat: Az egyes változók küszöbértékei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_Toc436923968 \h </w:instrText>
        </w:r>
        <w:r w:rsidR="00A65171" w:rsidRPr="00D40DC4">
          <w:rPr>
            <w:noProof/>
            <w:webHidden/>
          </w:rPr>
        </w:r>
        <w:r w:rsidR="00A65171" w:rsidRPr="00D40DC4">
          <w:rPr>
            <w:noProof/>
            <w:webHidden/>
          </w:rPr>
          <w:fldChar w:fldCharType="separate"/>
        </w:r>
        <w:r w:rsidR="007B4938" w:rsidRPr="00D40DC4">
          <w:rPr>
            <w:noProof/>
            <w:webHidden/>
          </w:rPr>
          <w:t>66</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69" w:history="1">
        <w:r w:rsidR="00A65171" w:rsidRPr="00D40DC4">
          <w:rPr>
            <w:rStyle w:val="Hiperhivatkozs"/>
            <w:noProof/>
          </w:rPr>
          <w:t>36. táblázat: A kockázatok bemutatása és értékelése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_Toc436923969 \h </w:instrText>
        </w:r>
        <w:r w:rsidR="00A65171" w:rsidRPr="00D40DC4">
          <w:rPr>
            <w:noProof/>
            <w:webHidden/>
          </w:rPr>
        </w:r>
        <w:r w:rsidR="00A65171" w:rsidRPr="00D40DC4">
          <w:rPr>
            <w:noProof/>
            <w:webHidden/>
          </w:rPr>
          <w:fldChar w:fldCharType="separate"/>
        </w:r>
        <w:r w:rsidR="007B4938" w:rsidRPr="00D40DC4">
          <w:rPr>
            <w:noProof/>
            <w:webHidden/>
          </w:rPr>
          <w:t>68</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70" w:history="1">
        <w:r w:rsidR="00A65171" w:rsidRPr="00D40DC4">
          <w:rPr>
            <w:rStyle w:val="Hiperhivatkozs"/>
            <w:noProof/>
          </w:rPr>
          <w:t>37. táblázat: A kockázati események lehetséges hatásának kategóriái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_Toc436923970 \h </w:instrText>
        </w:r>
        <w:r w:rsidR="00A65171" w:rsidRPr="00D40DC4">
          <w:rPr>
            <w:noProof/>
            <w:webHidden/>
          </w:rPr>
        </w:r>
        <w:r w:rsidR="00A65171" w:rsidRPr="00D40DC4">
          <w:rPr>
            <w:noProof/>
            <w:webHidden/>
          </w:rPr>
          <w:fldChar w:fldCharType="separate"/>
        </w:r>
        <w:r w:rsidR="007B4938" w:rsidRPr="00D40DC4">
          <w:rPr>
            <w:noProof/>
            <w:webHidden/>
          </w:rPr>
          <w:t>69</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71" w:history="1">
        <w:r w:rsidR="00A65171" w:rsidRPr="00D40DC4">
          <w:rPr>
            <w:rStyle w:val="Hiperhivatkozs"/>
            <w:noProof/>
          </w:rPr>
          <w:t>38. táblázat: A kockázati események értékelése hatásuk ill. bekövetkezésük valószínűsége szerint</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_Toc436923971 \h </w:instrText>
        </w:r>
        <w:r w:rsidR="00A65171" w:rsidRPr="00D40DC4">
          <w:rPr>
            <w:noProof/>
            <w:webHidden/>
          </w:rPr>
        </w:r>
        <w:r w:rsidR="00A65171" w:rsidRPr="00D40DC4">
          <w:rPr>
            <w:noProof/>
            <w:webHidden/>
          </w:rPr>
          <w:fldChar w:fldCharType="separate"/>
        </w:r>
        <w:r w:rsidR="007B4938" w:rsidRPr="00D40DC4">
          <w:rPr>
            <w:noProof/>
            <w:webHidden/>
          </w:rPr>
          <w:t>70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72" w:history="1">
        <w:r w:rsidR="00A65171" w:rsidRPr="00D40DC4">
          <w:rPr>
            <w:rStyle w:val="Hiperhivatkozs"/>
            <w:noProof/>
          </w:rPr>
          <w:t>39. táblázat: A kockázatmérséklési- és megelőzési stratégiák alkalmazása a kockázati szint függvényében</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_Toc436923972 \h </w:instrText>
        </w:r>
        <w:r w:rsidR="00A65171" w:rsidRPr="00D40DC4">
          <w:rPr>
            <w:noProof/>
            <w:webHidden/>
          </w:rPr>
        </w:r>
        <w:r w:rsidR="00A65171" w:rsidRPr="00D40DC4">
          <w:rPr>
            <w:noProof/>
            <w:webHidden/>
          </w:rPr>
          <w:fldChar w:fldCharType="separate"/>
        </w:r>
        <w:r w:rsidR="007B4938" w:rsidRPr="00D40DC4">
          <w:rPr>
            <w:noProof/>
            <w:webHidden/>
          </w:rPr>
          <w:t>70</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73" w:history="1">
        <w:r w:rsidR="00A65171" w:rsidRPr="00D40DC4">
          <w:rPr>
            <w:rStyle w:val="Hiperhivatkozs"/>
            <w:noProof/>
          </w:rPr>
          <w:t>40. táblázat: A közgazdasági teljesítménymutatók kvantitatív kockázatelemzése</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_Toc436923973 \h </w:instrText>
        </w:r>
        <w:r w:rsidR="00A65171" w:rsidRPr="00D40DC4">
          <w:rPr>
            <w:noProof/>
            <w:webHidden/>
          </w:rPr>
        </w:r>
        <w:r w:rsidR="00A65171" w:rsidRPr="00D40DC4">
          <w:rPr>
            <w:noProof/>
            <w:webHidden/>
          </w:rPr>
          <w:fldChar w:fldCharType="separate"/>
        </w:r>
        <w:r w:rsidR="007B4938" w:rsidRPr="00D40DC4">
          <w:rPr>
            <w:noProof/>
            <w:webHidden/>
          </w:rPr>
          <w:t>72</w:t>
        </w:r>
        <w:r w:rsidR="00A65171" w:rsidRPr="00D40DC4">
          <w:rPr>
            <w:noProof/>
            <w:webHidden/>
          </w:rPr>
          <w:fldChar w:fldCharType="end"/>
        </w:r>
      </w:hyperlink>
    </w:p>
    <w:p w:rsidR="00A65171" w:rsidRPr="00D40DC4" w:rsidRDefault="002C4DE0">
      <w:pPr>
        <w:pStyle w:val="brajegyzk"/>
        <w:tabs>
          <w:tab w:val="right" w:leader="dot" w:pos="9062"/>
        </w:tabs>
        <w:rPr>
          <w:rFonts w:asciiTheme="minorHAnsi" w:eastAsiaTheme="minorEastAsia" w:hAnsiTheme="minorHAnsi" w:cstheme="minorBidi"/>
          <w:noProof/>
          <w:sz w:val="22"/>
          <w:szCs w:val="22"/>
          <w:lang w:val="hu-HU"/>
        </w:rPr>
      </w:pPr>
      <w:hyperlink w:anchor="_Toc436923974" w:history="1">
        <w:r w:rsidR="00A65171" w:rsidRPr="00D40DC4">
          <w:rPr>
            <w:rStyle w:val="Hiperhivatkozs"/>
            <w:noProof/>
          </w:rPr>
          <w:t>41. táblázat: Az optimista elfogultság okai</w:t>
        </w:r>
        <w:r w:rsidR="00A65171" w:rsidRPr="00D40DC4">
          <w:rPr>
            <w:noProof/>
            <w:webHidden/>
          </w:rPr>
          <w:tab/>
        </w:r>
        <w:r w:rsidR="00A65171" w:rsidRPr="00D40DC4">
          <w:rPr>
            <w:noProof/>
            <w:webHidden/>
          </w:rPr>
          <w:fldChar w:fldCharType="begin"/>
        </w:r>
        <w:r w:rsidR="00A65171" w:rsidRPr="00D40DC4">
          <w:rPr>
            <w:noProof/>
            <w:webHidden/>
          </w:rPr>
          <w:instrText xml:space="preserve"> PAGEREF _Toc436923974 \h </w:instrText>
        </w:r>
        <w:r w:rsidR="00A65171" w:rsidRPr="00D40DC4">
          <w:rPr>
            <w:noProof/>
            <w:webHidden/>
          </w:rPr>
        </w:r>
        <w:r w:rsidR="00A65171" w:rsidRPr="00D40DC4">
          <w:rPr>
            <w:noProof/>
            <w:webHidden/>
          </w:rPr>
          <w:fldChar w:fldCharType="separate"/>
        </w:r>
        <w:r w:rsidR="007B4938" w:rsidRPr="00D40DC4">
          <w:rPr>
            <w:noProof/>
            <w:webHidden/>
          </w:rPr>
          <w:t>73</w:t>
        </w:r>
        <w:r w:rsidR="00A65171" w:rsidRPr="00D40DC4">
          <w:rPr>
            <w:noProof/>
            <w:webHidden/>
          </w:rPr>
          <w:fldChar w:fldCharType="end"/>
        </w:r>
      </w:hyperlink>
    </w:p>
    <w:p w:rsidR="00B21B87" w:rsidRPr="00D40DC4" w:rsidRDefault="00B21B87">
      <w:pPr>
        <w:spacing w:after="160" w:line="259" w:lineRule="auto"/>
        <w:jc w:val="left"/>
        <w:rPr>
          <w:rFonts w:eastAsia="Times New Roman" w:cs="Arial"/>
          <w:b/>
          <w:sz w:val="32"/>
          <w:szCs w:val="32"/>
          <w:lang w:eastAsia="hu-HU"/>
        </w:rPr>
      </w:pPr>
      <w:r w:rsidRPr="00D40DC4">
        <w:rPr>
          <w:rFonts w:cs="Arial"/>
        </w:rPr>
        <w:fldChar w:fldCharType="end"/>
      </w:r>
      <w:r w:rsidRPr="00D40DC4">
        <w:rPr>
          <w:rFonts w:cs="Arial"/>
        </w:rPr>
        <w:br w:type="page"/>
      </w:r>
    </w:p>
    <w:p w:rsidR="009B5E74" w:rsidRPr="00D40DC4" w:rsidRDefault="009B5E74" w:rsidP="00DD7E6C">
      <w:pPr>
        <w:pStyle w:val="Cmsor1"/>
      </w:pPr>
      <w:bookmarkStart w:id="5" w:name="_Toc436923871"/>
      <w:bookmarkStart w:id="6" w:name="_Toc241657507"/>
      <w:bookmarkStart w:id="7" w:name="_Toc228260728"/>
      <w:bookmarkStart w:id="8" w:name="_Ref428192000"/>
      <w:bookmarkEnd w:id="4"/>
      <w:bookmarkEnd w:id="3"/>
      <w:bookmarkEnd w:id="2"/>
      <w:bookmarkEnd w:id="1"/>
      <w:r w:rsidRPr="00D40DC4">
        <w:lastRenderedPageBreak/>
        <w:t>Bevezetés</w:t>
      </w:r>
      <w:bookmarkEnd w:id="5"/>
    </w:p>
    <w:p w:rsidR="009B5E74" w:rsidRPr="00D40DC4" w:rsidRDefault="009B5E74" w:rsidP="005A76C2">
      <w:pPr>
        <w:pStyle w:val="Cmsor4"/>
      </w:pPr>
      <w:r w:rsidRPr="00D40DC4">
        <w:t>Az útmutató célja</w:t>
      </w:r>
      <w:r w:rsidR="00EB7D8E" w:rsidRPr="00D40DC4">
        <w:t xml:space="preserve"> és módszertani háttere</w:t>
      </w:r>
    </w:p>
    <w:p w:rsidR="009B5E74" w:rsidRPr="00D40DC4" w:rsidRDefault="009B5E74" w:rsidP="009B5E74">
      <w:pPr>
        <w:rPr>
          <w:rFonts w:cs="Arial"/>
        </w:rPr>
      </w:pPr>
      <w:r w:rsidRPr="00D40DC4">
        <w:rPr>
          <w:rFonts w:cs="Arial"/>
        </w:rPr>
        <w:t xml:space="preserve">A 2014-2020 programozási időszak az EU támogatás szabályaiban számos jelentős változást hozott. Ez érinti a projekt előkészítése során eddig is elvégzett költség-haszon elemzés módszertanát is. </w:t>
      </w:r>
      <w:r w:rsidR="00C202CE" w:rsidRPr="00D40DC4">
        <w:rPr>
          <w:rFonts w:cs="Arial"/>
        </w:rPr>
        <w:t>Egyik fontos változás, hogy a költség-haszon elemzés egyes módszertani elemei nemcsak útmutatóban, hanem jogszabályban is megjelentek.</w:t>
      </w:r>
      <w:r w:rsidR="00271748" w:rsidRPr="00D40DC4">
        <w:rPr>
          <w:rFonts w:cs="Arial"/>
        </w:rPr>
        <w:t xml:space="preserve"> </w:t>
      </w:r>
      <w:r w:rsidRPr="00D40DC4">
        <w:rPr>
          <w:rFonts w:cs="Arial"/>
        </w:rPr>
        <w:t>A</w:t>
      </w:r>
      <w:r w:rsidR="00C202CE" w:rsidRPr="00D40DC4">
        <w:rPr>
          <w:rFonts w:cs="Arial"/>
        </w:rPr>
        <w:t xml:space="preserve">z előző időszakhoz hasonlóan ismét </w:t>
      </w:r>
      <w:r w:rsidRPr="00D40DC4">
        <w:rPr>
          <w:rFonts w:cs="Arial"/>
        </w:rPr>
        <w:t xml:space="preserve">megjelenik az ajánlás, hogy a tagországok dolgozzanak ki az EU útmutatók alapján saját, keret jellegű útmutatót. </w:t>
      </w:r>
    </w:p>
    <w:p w:rsidR="009B5E74" w:rsidRPr="00D40DC4" w:rsidRDefault="009B5E74" w:rsidP="009B5E74">
      <w:pPr>
        <w:rPr>
          <w:rFonts w:cs="Arial"/>
        </w:rPr>
      </w:pPr>
      <w:r w:rsidRPr="00D40DC4">
        <w:rPr>
          <w:rFonts w:cs="Arial"/>
        </w:rPr>
        <w:t>Jelen útmutató célja, hogy az ajánlásokkal összhangban, olyan módszertani keretet adjon, amely a projekt előkészítői és értékelői számára megkönnyíti a vonatkozó előírások áttekintését, ezek alkalmazását. Ennek érdekében az útmutató az eddig készült alábbi dokumentumokban foglalt követelményeket egységes szerkezetben jeleníti meg:</w:t>
      </w:r>
    </w:p>
    <w:p w:rsidR="009B5E74" w:rsidRPr="00D40DC4" w:rsidRDefault="009B5E74" w:rsidP="008E60FC">
      <w:pPr>
        <w:numPr>
          <w:ilvl w:val="0"/>
          <w:numId w:val="1"/>
        </w:numPr>
      </w:pPr>
      <w:r w:rsidRPr="00D40DC4">
        <w:t>Az Európai Parlament és a Tanács 1303/2013/EU rendelete</w:t>
      </w:r>
    </w:p>
    <w:p w:rsidR="009B5E74" w:rsidRPr="00D40DC4" w:rsidRDefault="009B5E74" w:rsidP="008E60FC">
      <w:pPr>
        <w:numPr>
          <w:ilvl w:val="0"/>
          <w:numId w:val="1"/>
        </w:numPr>
      </w:pPr>
      <w:r w:rsidRPr="00D40DC4">
        <w:t xml:space="preserve">A Bizottság 480/2014/EU felhatalmazáson alapuló rendelete </w:t>
      </w:r>
    </w:p>
    <w:p w:rsidR="009B5E74" w:rsidRPr="00D40DC4" w:rsidRDefault="009B5E74" w:rsidP="008E60FC">
      <w:pPr>
        <w:numPr>
          <w:ilvl w:val="0"/>
          <w:numId w:val="1"/>
        </w:numPr>
      </w:pPr>
      <w:r w:rsidRPr="00D40DC4">
        <w:t>a Bizottság (EU) 2015/207/EU végrehajtási rendelete</w:t>
      </w:r>
    </w:p>
    <w:p w:rsidR="004C0F90" w:rsidRPr="00D40DC4" w:rsidRDefault="004C0F90" w:rsidP="008E60FC">
      <w:pPr>
        <w:numPr>
          <w:ilvl w:val="0"/>
          <w:numId w:val="1"/>
        </w:numPr>
      </w:pPr>
      <w:r w:rsidRPr="00D40DC4">
        <w:t>állami támogatásokra vonatkozó szabályozás</w:t>
      </w:r>
    </w:p>
    <w:p w:rsidR="009B5E74" w:rsidRPr="00D40DC4" w:rsidRDefault="009B5E74" w:rsidP="008E60FC">
      <w:pPr>
        <w:numPr>
          <w:ilvl w:val="0"/>
          <w:numId w:val="1"/>
        </w:numPr>
      </w:pPr>
      <w:r w:rsidRPr="00D40DC4">
        <w:t>„Guide to Cost-benefit Analysis of Investment Projects - Economic appraisal tool for Cohesion Policy 2014-2020” (továbbiakban: EU Útmutató (2014-2020))</w:t>
      </w:r>
    </w:p>
    <w:p w:rsidR="009B5E74" w:rsidRPr="00D40DC4" w:rsidRDefault="009B5E74" w:rsidP="008E60FC">
      <w:pPr>
        <w:numPr>
          <w:ilvl w:val="0"/>
          <w:numId w:val="1"/>
        </w:numPr>
      </w:pPr>
      <w:r w:rsidRPr="00D40DC4">
        <w:t>„Guidance Manual for Cost Benefit Analysis (CBAs), Appraisal in Malta May 2013”</w:t>
      </w:r>
    </w:p>
    <w:p w:rsidR="004C0F90" w:rsidRPr="00D40DC4" w:rsidRDefault="004C0F90" w:rsidP="008E60FC">
      <w:pPr>
        <w:numPr>
          <w:ilvl w:val="0"/>
          <w:numId w:val="1"/>
        </w:numPr>
      </w:pPr>
      <w:r w:rsidRPr="00D40DC4">
        <w:t>Implementation Guidance 2014 -2020 Operations generating net revenues, Version 2 – 24/03/2014</w:t>
      </w:r>
    </w:p>
    <w:p w:rsidR="00D67065" w:rsidRPr="00D40DC4" w:rsidRDefault="00B067E0" w:rsidP="008E60FC">
      <w:pPr>
        <w:numPr>
          <w:ilvl w:val="0"/>
          <w:numId w:val="1"/>
        </w:numPr>
      </w:pPr>
      <w:r w:rsidRPr="00D40DC4">
        <w:t>External costs of transport – update study, INFRAS, 2004</w:t>
      </w:r>
    </w:p>
    <w:p w:rsidR="00B067E0" w:rsidRPr="00D40DC4" w:rsidRDefault="00B067E0" w:rsidP="008E60FC">
      <w:pPr>
        <w:numPr>
          <w:ilvl w:val="0"/>
          <w:numId w:val="1"/>
        </w:numPr>
      </w:pPr>
      <w:r w:rsidRPr="00D40DC4">
        <w:t>Developing Harmonised European Approaches for Transport Costing and Project Assessment (HEATCO), 2006</w:t>
      </w:r>
    </w:p>
    <w:p w:rsidR="00B067E0" w:rsidRPr="00D40DC4" w:rsidRDefault="00B067E0" w:rsidP="008E60FC">
      <w:pPr>
        <w:numPr>
          <w:ilvl w:val="0"/>
          <w:numId w:val="1"/>
        </w:numPr>
      </w:pPr>
      <w:r w:rsidRPr="00D40DC4">
        <w:t>Traffic noise reduction in Europe Health effects, social costs and technical and policy options to reduce road and rail traffic noise, CE Delft 2007</w:t>
      </w:r>
    </w:p>
    <w:p w:rsidR="009B5E74" w:rsidRPr="00D40DC4" w:rsidRDefault="009B5E74" w:rsidP="008E60FC">
      <w:pPr>
        <w:numPr>
          <w:ilvl w:val="0"/>
          <w:numId w:val="1"/>
        </w:numPr>
      </w:pPr>
      <w:r w:rsidRPr="00D40DC4">
        <w:t>Deliverables of IMPACT (Internalisation Measures and Policies for All external Cost of Transport), CE Delft 2008</w:t>
      </w:r>
    </w:p>
    <w:p w:rsidR="005A0A5F" w:rsidRPr="00D40DC4" w:rsidRDefault="00B067E0" w:rsidP="008E60FC">
      <w:pPr>
        <w:numPr>
          <w:ilvl w:val="0"/>
          <w:numId w:val="1"/>
        </w:numPr>
      </w:pPr>
      <w:r w:rsidRPr="00D40DC4">
        <w:t>DG MOVE – Update of the Handbook on External Costs of Transport, 2014</w:t>
      </w:r>
    </w:p>
    <w:p w:rsidR="009B5E74" w:rsidRPr="00D40DC4" w:rsidRDefault="009B5E74" w:rsidP="008E60FC">
      <w:pPr>
        <w:numPr>
          <w:ilvl w:val="0"/>
          <w:numId w:val="1"/>
        </w:numPr>
      </w:pPr>
      <w:r w:rsidRPr="00D40DC4">
        <w:t>„Note for the attention of DG REGIO Geographical Heads of Unit (European Commission) Treatment of VAT in the major project application”</w:t>
      </w:r>
    </w:p>
    <w:p w:rsidR="009B5E74" w:rsidRPr="00D40DC4" w:rsidRDefault="009B5E74" w:rsidP="008E60FC">
      <w:pPr>
        <w:numPr>
          <w:ilvl w:val="0"/>
          <w:numId w:val="1"/>
        </w:numPr>
      </w:pPr>
      <w:r w:rsidRPr="00D40DC4">
        <w:t>JASPERS szakértői segítségnyújtás során, illetve a nagyprojektek EU értékelése során kapott észrevételek</w:t>
      </w:r>
    </w:p>
    <w:p w:rsidR="009B5E74" w:rsidRPr="00D40DC4" w:rsidRDefault="009B5E74" w:rsidP="009B5E74">
      <w:pPr>
        <w:rPr>
          <w:rFonts w:cs="Arial"/>
        </w:rPr>
      </w:pPr>
      <w:r w:rsidRPr="00D40DC4">
        <w:rPr>
          <w:rFonts w:cs="Arial"/>
        </w:rPr>
        <w:t>(a továbbiakban mindezek együtt: EU Útmutatók).</w:t>
      </w:r>
    </w:p>
    <w:p w:rsidR="009B5E74" w:rsidRPr="00D40DC4" w:rsidRDefault="009B5E74" w:rsidP="009B5E74">
      <w:pPr>
        <w:rPr>
          <w:rFonts w:cs="Arial"/>
        </w:rPr>
      </w:pPr>
    </w:p>
    <w:p w:rsidR="009B5E74" w:rsidRPr="00D40DC4" w:rsidRDefault="009B5E74" w:rsidP="005A76C2">
      <w:pPr>
        <w:pStyle w:val="Cmsor4"/>
      </w:pPr>
      <w:r w:rsidRPr="00D40DC4">
        <w:t>CBA szükségessége</w:t>
      </w:r>
      <w:r w:rsidR="00514FC8" w:rsidRPr="00D40DC4">
        <w:t xml:space="preserve"> </w:t>
      </w:r>
    </w:p>
    <w:p w:rsidR="009B5E74" w:rsidRPr="00D40DC4" w:rsidRDefault="009B5E74" w:rsidP="009B5E74">
      <w:pPr>
        <w:rPr>
          <w:rFonts w:cs="Arial"/>
        </w:rPr>
      </w:pPr>
      <w:r w:rsidRPr="00D40DC4">
        <w:rPr>
          <w:rFonts w:cs="Arial"/>
        </w:rPr>
        <w:t xml:space="preserve">A Strukturális alapok és Kohéziós Alap felhasználásának feltétele, hogy a támogatás indokoltsága igazolható legyen. Ez elsősorban az alábbi </w:t>
      </w:r>
      <w:r w:rsidRPr="00D40DC4">
        <w:rPr>
          <w:rFonts w:cs="Arial"/>
          <w:b/>
          <w:i/>
        </w:rPr>
        <w:t xml:space="preserve">támogatási feltételek </w:t>
      </w:r>
      <w:r w:rsidRPr="00D40DC4">
        <w:rPr>
          <w:rFonts w:cs="Arial"/>
        </w:rPr>
        <w:t xml:space="preserve">teljesítését jelenti: </w:t>
      </w:r>
    </w:p>
    <w:p w:rsidR="009B5E74" w:rsidRPr="00D40DC4" w:rsidRDefault="009B5E74" w:rsidP="008E60FC">
      <w:pPr>
        <w:numPr>
          <w:ilvl w:val="0"/>
          <w:numId w:val="2"/>
        </w:numPr>
      </w:pPr>
      <w:r w:rsidRPr="00D40DC4">
        <w:lastRenderedPageBreak/>
        <w:t xml:space="preserve">a fejlesztési projektek társadalmi hasznossága igazolható legyen, </w:t>
      </w:r>
    </w:p>
    <w:p w:rsidR="009B5E74" w:rsidRPr="00D40DC4" w:rsidRDefault="009B5E74" w:rsidP="008E60FC">
      <w:pPr>
        <w:numPr>
          <w:ilvl w:val="0"/>
          <w:numId w:val="2"/>
        </w:numPr>
      </w:pPr>
      <w:r w:rsidRPr="00D40DC4">
        <w:t>csak a megvalósuláshoz szükséges mértékű támogatást kapnak, túl-támogatás nem történjen;</w:t>
      </w:r>
    </w:p>
    <w:p w:rsidR="009B5E74" w:rsidRPr="00D40DC4" w:rsidRDefault="009B5E74" w:rsidP="008E60FC">
      <w:pPr>
        <w:numPr>
          <w:ilvl w:val="0"/>
          <w:numId w:val="2"/>
        </w:numPr>
      </w:pPr>
      <w:r w:rsidRPr="00D40DC4">
        <w:t>a fejlesztési projektek keretében létrehozott eszközök működtetése, a szolgáltatási színvonal pénzügyileg fenntartható legyen.</w:t>
      </w:r>
    </w:p>
    <w:p w:rsidR="009B5E74" w:rsidRPr="00D40DC4" w:rsidRDefault="009B5E74" w:rsidP="009B5E74">
      <w:pPr>
        <w:rPr>
          <w:rFonts w:cs="Arial"/>
        </w:rPr>
      </w:pPr>
      <w:r w:rsidRPr="00D40DC4">
        <w:rPr>
          <w:rFonts w:cs="Arial"/>
        </w:rPr>
        <w:t xml:space="preserve">Ezen támogatási feltételek ellenőrzése a költség-haszon elemzés módszereivel történik meg. </w:t>
      </w:r>
    </w:p>
    <w:p w:rsidR="009B5E74" w:rsidRPr="00D40DC4" w:rsidRDefault="009B5E74" w:rsidP="009B5E74">
      <w:pPr>
        <w:rPr>
          <w:rFonts w:cs="Arial"/>
        </w:rPr>
      </w:pPr>
      <w:r w:rsidRPr="00D40DC4">
        <w:rPr>
          <w:rFonts w:cs="Arial"/>
        </w:rPr>
        <w:t>A költség-haszon elemzés további feladata, hogy a vonatkozó szabályrendszer szerint a számítások alapján a támogatás aránya és összege számolható legyen.</w:t>
      </w:r>
    </w:p>
    <w:p w:rsidR="00514FC8" w:rsidRPr="00D40DC4" w:rsidRDefault="00514FC8" w:rsidP="009B5E74">
      <w:pPr>
        <w:rPr>
          <w:rFonts w:cs="Arial"/>
        </w:rPr>
      </w:pPr>
      <w:r w:rsidRPr="00D40DC4">
        <w:rPr>
          <w:rFonts w:cs="Arial"/>
        </w:rPr>
        <w:t>A számítások alapján Költség-haszon elemzési dokumentumot kell összeállítani azokra a projektekre,</w:t>
      </w:r>
      <w:r w:rsidR="0014120A" w:rsidRPr="00D40DC4">
        <w:rPr>
          <w:rFonts w:cs="Arial"/>
        </w:rPr>
        <w:t xml:space="preserve"> </w:t>
      </w:r>
      <w:r w:rsidRPr="00D40DC4">
        <w:rPr>
          <w:rFonts w:cs="Arial"/>
        </w:rPr>
        <w:t>amelyek elszámolható</w:t>
      </w:r>
      <w:r w:rsidR="0014120A" w:rsidRPr="00D40DC4">
        <w:rPr>
          <w:rFonts w:cs="Arial"/>
        </w:rPr>
        <w:t xml:space="preserve"> költsége 1mEUR alatti </w:t>
      </w:r>
      <w:r w:rsidRPr="00D40DC4">
        <w:rPr>
          <w:rFonts w:cs="Arial"/>
        </w:rPr>
        <w:t>foglalja össze</w:t>
      </w:r>
    </w:p>
    <w:p w:rsidR="009B5E74" w:rsidRPr="00D40DC4" w:rsidRDefault="009B5E74" w:rsidP="005A76C2">
      <w:pPr>
        <w:pStyle w:val="Cmsor4"/>
      </w:pPr>
      <w:r w:rsidRPr="00D40DC4">
        <w:t>Az útmutató alkalmazása és korlátai</w:t>
      </w:r>
    </w:p>
    <w:p w:rsidR="009B5E74" w:rsidRPr="00D40DC4" w:rsidRDefault="009B5E74" w:rsidP="009B5E74">
      <w:pPr>
        <w:rPr>
          <w:rFonts w:cs="Arial"/>
        </w:rPr>
      </w:pPr>
      <w:r w:rsidRPr="00D40DC4">
        <w:rPr>
          <w:rFonts w:cs="Arial"/>
        </w:rPr>
        <w:t xml:space="preserve">Az útmutató módszertani kereteket ad, továbbá az elemzések során egységesen alkalmazandó paraméterek értékeit adja meg. </w:t>
      </w:r>
      <w:r w:rsidR="00514FC8" w:rsidRPr="00D40DC4">
        <w:rPr>
          <w:rFonts w:cs="Arial"/>
        </w:rPr>
        <w:t xml:space="preserve">Az útmutató alkalmazása </w:t>
      </w:r>
      <w:r w:rsidRPr="00D40DC4">
        <w:rPr>
          <w:rFonts w:cs="Arial"/>
          <w:b/>
        </w:rPr>
        <w:t xml:space="preserve">azonban </w:t>
      </w:r>
      <w:r w:rsidR="00DA2BD1" w:rsidRPr="00D40DC4">
        <w:rPr>
          <w:rFonts w:cs="Arial"/>
          <w:b/>
          <w:u w:val="single"/>
        </w:rPr>
        <w:t xml:space="preserve">nem </w:t>
      </w:r>
      <w:r w:rsidRPr="00D40DC4">
        <w:rPr>
          <w:rFonts w:cs="Arial"/>
          <w:b/>
          <w:u w:val="single"/>
        </w:rPr>
        <w:t>helyettesít</w:t>
      </w:r>
      <w:r w:rsidR="00514FC8" w:rsidRPr="00D40DC4">
        <w:rPr>
          <w:rFonts w:cs="Arial"/>
          <w:b/>
          <w:u w:val="single"/>
        </w:rPr>
        <w:t>heti</w:t>
      </w:r>
      <w:r w:rsidRPr="00D40DC4">
        <w:rPr>
          <w:rFonts w:cs="Arial"/>
          <w:b/>
        </w:rPr>
        <w:t xml:space="preserve"> a költség-haszon elemzést végző szakértők közgazdasági, pénzügyi szakértelmét</w:t>
      </w:r>
      <w:r w:rsidRPr="00D40DC4">
        <w:rPr>
          <w:rFonts w:cs="Arial"/>
        </w:rPr>
        <w:t xml:space="preserve">. </w:t>
      </w:r>
    </w:p>
    <w:p w:rsidR="009B5E74" w:rsidRPr="00D40DC4" w:rsidRDefault="009B5E74" w:rsidP="009B5E74">
      <w:pPr>
        <w:rPr>
          <w:rFonts w:cs="Arial"/>
        </w:rPr>
      </w:pPr>
      <w:r w:rsidRPr="00D40DC4">
        <w:rPr>
          <w:rFonts w:cs="Arial"/>
        </w:rPr>
        <w:t xml:space="preserve">Jelen útmutató nem terjed ki a megvalósíthatósági tanulmány tartalmának megadására, azonban az útmutatóban </w:t>
      </w:r>
      <w:r w:rsidR="00514FC8" w:rsidRPr="00D40DC4">
        <w:rPr>
          <w:rFonts w:cs="Arial"/>
        </w:rPr>
        <w:t>szereplő módszereket a megvalósíthatósági tanulmány készítése során is alkalmazni kell.</w:t>
      </w:r>
    </w:p>
    <w:p w:rsidR="00EB7D8E" w:rsidRPr="00D40DC4" w:rsidRDefault="00EB7D8E" w:rsidP="005A76C2">
      <w:pPr>
        <w:pStyle w:val="Cmsor4"/>
      </w:pPr>
      <w:r w:rsidRPr="00D40DC4">
        <w:t>A költség-haszon elemzés</w:t>
      </w:r>
      <w:r w:rsidR="00514FC8" w:rsidRPr="00D40DC4">
        <w:t>i dokumentum sablon</w:t>
      </w:r>
    </w:p>
    <w:p w:rsidR="00EB7D8E" w:rsidRPr="00D40DC4" w:rsidRDefault="00926CDD" w:rsidP="00514FC8">
      <w:pPr>
        <w:rPr>
          <w:rFonts w:cs="Arial"/>
        </w:rPr>
      </w:pPr>
      <w:r w:rsidRPr="00D40DC4">
        <w:rPr>
          <w:rFonts w:cs="Arial"/>
        </w:rPr>
        <w:t xml:space="preserve">Jelen </w:t>
      </w:r>
      <w:r w:rsidR="00C3482E" w:rsidRPr="00D40DC4">
        <w:rPr>
          <w:rFonts w:cs="Arial"/>
        </w:rPr>
        <w:t>útmutató</w:t>
      </w:r>
      <w:r w:rsidRPr="00D40DC4">
        <w:rPr>
          <w:rFonts w:cs="Arial"/>
        </w:rPr>
        <w:t xml:space="preserve"> tartalmazza </w:t>
      </w:r>
      <w:r w:rsidR="002C4CC2" w:rsidRPr="00D40DC4">
        <w:rPr>
          <w:rFonts w:cs="Arial"/>
        </w:rPr>
        <w:t>a költség-haszon elemzés</w:t>
      </w:r>
      <w:r w:rsidR="00C3482E" w:rsidRPr="00D40DC4">
        <w:rPr>
          <w:rFonts w:cs="Arial"/>
        </w:rPr>
        <w:t xml:space="preserve"> (CBA) módszertanát, ami a</w:t>
      </w:r>
      <w:r w:rsidR="002C4CC2" w:rsidRPr="00D40DC4">
        <w:rPr>
          <w:rFonts w:cs="Arial"/>
        </w:rPr>
        <w:t xml:space="preserve"> </w:t>
      </w:r>
      <w:r w:rsidR="00C3482E" w:rsidRPr="00D40DC4">
        <w:rPr>
          <w:rFonts w:cs="Arial"/>
        </w:rPr>
        <w:t xml:space="preserve">költség-haszon elemzési dokumentum </w:t>
      </w:r>
      <w:r w:rsidR="002C4CC2" w:rsidRPr="00D40DC4">
        <w:rPr>
          <w:rFonts w:cs="Arial"/>
        </w:rPr>
        <w:t>(CBA dokumentum) elkészítéséhez szükséges Szintén jelen dokumentum célja, hogy az múltban felhalmozott tapasztalatok és jó gyakorlatok mentén segítse a CBA dokumentum megfelelő szintű elkészítését.</w:t>
      </w:r>
    </w:p>
    <w:p w:rsidR="002C4CC2" w:rsidRPr="00D40DC4" w:rsidRDefault="00926CDD" w:rsidP="00C3482E">
      <w:pPr>
        <w:rPr>
          <w:rFonts w:cs="Arial"/>
        </w:rPr>
      </w:pPr>
      <w:r w:rsidRPr="00D40DC4">
        <w:rPr>
          <w:rFonts w:cs="Arial"/>
        </w:rPr>
        <w:t>A költség-haszon elemzési dokumentum sablonja</w:t>
      </w:r>
      <w:r w:rsidR="002D58AD" w:rsidRPr="00D40DC4">
        <w:rPr>
          <w:rFonts w:cs="Arial"/>
        </w:rPr>
        <w:t xml:space="preserve"> (CBA Sablon)</w:t>
      </w:r>
      <w:r w:rsidR="00C3482E" w:rsidRPr="00D40DC4">
        <w:rPr>
          <w:rFonts w:cs="Arial"/>
        </w:rPr>
        <w:t xml:space="preserve"> egy külön dokumentum, aminek </w:t>
      </w:r>
      <w:r w:rsidR="002C4CC2" w:rsidRPr="00D40DC4">
        <w:rPr>
          <w:rFonts w:cs="Arial"/>
        </w:rPr>
        <w:t xml:space="preserve">célja, hogy biztosítsa a benyújtott pályázatok egységes, formailag és módszertanilag megfelelő felépítését. </w:t>
      </w:r>
    </w:p>
    <w:p w:rsidR="009B5E74" w:rsidRPr="00D40DC4" w:rsidRDefault="009B5E74" w:rsidP="00DD7E6C">
      <w:pPr>
        <w:pStyle w:val="Cmsor1"/>
      </w:pPr>
      <w:bookmarkStart w:id="9" w:name="_Toc436923872"/>
      <w:r w:rsidRPr="00D40DC4">
        <w:lastRenderedPageBreak/>
        <w:t>A költség-haszon elemzés alapjai</w:t>
      </w:r>
      <w:bookmarkEnd w:id="9"/>
    </w:p>
    <w:p w:rsidR="009B5E74" w:rsidRPr="00D40DC4" w:rsidRDefault="009B5E74" w:rsidP="00DD7E6C">
      <w:pPr>
        <w:pStyle w:val="Cmsor2"/>
      </w:pPr>
      <w:bookmarkStart w:id="10" w:name="_Toc436923873"/>
      <w:r w:rsidRPr="00D40DC4">
        <w:t>Költség-haszon elemzés elemei</w:t>
      </w:r>
      <w:bookmarkEnd w:id="10"/>
    </w:p>
    <w:p w:rsidR="009B5E74" w:rsidRPr="00D40DC4" w:rsidRDefault="009B5E74" w:rsidP="009B5E74">
      <w:pPr>
        <w:rPr>
          <w:rFonts w:cs="Arial"/>
        </w:rPr>
      </w:pPr>
      <w:r w:rsidRPr="00D40DC4">
        <w:rPr>
          <w:rFonts w:cs="Arial"/>
        </w:rPr>
        <w:t>A költség-haszon elemzés</w:t>
      </w:r>
      <w:r w:rsidR="00C3482E" w:rsidRPr="00D40DC4">
        <w:rPr>
          <w:rFonts w:cs="Arial"/>
        </w:rPr>
        <w:t xml:space="preserve"> módszereit a következő előkészítési lépésekben kell alkalmazni</w:t>
      </w:r>
    </w:p>
    <w:p w:rsidR="009B5E74" w:rsidRPr="00D40DC4" w:rsidRDefault="009B5E74" w:rsidP="005A76C2">
      <w:pPr>
        <w:pStyle w:val="Cmsor4"/>
      </w:pPr>
      <w:r w:rsidRPr="00D40DC4">
        <w:t>Változatelemzés</w:t>
      </w:r>
    </w:p>
    <w:p w:rsidR="009B5E74" w:rsidRPr="00D40DC4" w:rsidRDefault="00023829" w:rsidP="009B5E74">
      <w:r w:rsidRPr="00D40DC4">
        <w:rPr>
          <w:rFonts w:cs="Arial"/>
        </w:rPr>
        <w:t xml:space="preserve">A </w:t>
      </w:r>
      <w:r w:rsidRPr="00D40DC4">
        <w:rPr>
          <w:rFonts w:cs="Arial"/>
          <w:b/>
        </w:rPr>
        <w:t>változatelemzésben</w:t>
      </w:r>
      <w:r w:rsidRPr="00D40DC4">
        <w:rPr>
          <w:rFonts w:cs="Arial"/>
        </w:rPr>
        <w:t xml:space="preserve"> a megvalósítható projektváltozatok összehasonlítása annak érdekében, hogy a további elemzésekben csak a legjobbnak ítélt változat szerepeljen. </w:t>
      </w:r>
      <w:r w:rsidR="00C3482E" w:rsidRPr="00D40DC4">
        <w:rPr>
          <w:rFonts w:cs="Arial"/>
        </w:rPr>
        <w:t>A módszertani útmutató két lépéses változatelemzést ajánl, amelynek mindkét lépésében CBA módszereket kell alkalmazni</w:t>
      </w:r>
    </w:p>
    <w:p w:rsidR="009B5E74" w:rsidRPr="00D40DC4" w:rsidRDefault="009B5E74" w:rsidP="005A76C2">
      <w:pPr>
        <w:pStyle w:val="Cmsor4"/>
      </w:pPr>
      <w:r w:rsidRPr="00D40DC4">
        <w:t>Pénzügyi elemzés</w:t>
      </w:r>
    </w:p>
    <w:p w:rsidR="009B5E74" w:rsidRPr="00D40DC4" w:rsidRDefault="009B5E74" w:rsidP="009B5E74">
      <w:pPr>
        <w:rPr>
          <w:rFonts w:cs="Arial"/>
        </w:rPr>
      </w:pPr>
      <w:r w:rsidRPr="00D40DC4">
        <w:rPr>
          <w:rFonts w:cs="Arial"/>
          <w:b/>
        </w:rPr>
        <w:t>A pénzügyi elemzés</w:t>
      </w:r>
      <w:r w:rsidRPr="00D40DC4">
        <w:rPr>
          <w:rFonts w:cs="Arial"/>
        </w:rPr>
        <w:t>, amely a kiválasztott műszaki megoldásra vonatkozóan a beruházónál, kedvezményezettnél felmerülő beruházási és működési költségeket és bevételeket veszi számba és veti össze, pénzáram (cash-flow) szemléletben. Ennek keretében kell a pénzügyi fenntarthatóságot is vizsgálni.</w:t>
      </w:r>
    </w:p>
    <w:p w:rsidR="009B5E74" w:rsidRPr="00D40DC4" w:rsidRDefault="009B5E74" w:rsidP="005A76C2">
      <w:pPr>
        <w:pStyle w:val="Cmsor4"/>
      </w:pPr>
      <w:r w:rsidRPr="00D40DC4">
        <w:t xml:space="preserve">Közgazdasági költség-haszon elemzés </w:t>
      </w:r>
    </w:p>
    <w:p w:rsidR="009B5E74" w:rsidRPr="00D40DC4" w:rsidRDefault="009B5E74" w:rsidP="009B5E74">
      <w:pPr>
        <w:rPr>
          <w:rFonts w:cs="Arial"/>
        </w:rPr>
      </w:pPr>
      <w:r w:rsidRPr="00D40DC4">
        <w:rPr>
          <w:rFonts w:cs="Arial"/>
          <w:b/>
        </w:rPr>
        <w:t>A közgazdasági költség-haszon elemzés</w:t>
      </w:r>
      <w:r w:rsidRPr="00D40DC4">
        <w:rPr>
          <w:rFonts w:cs="Arial"/>
        </w:rPr>
        <w:t xml:space="preserve">, amelynek célja a kiválasztott műszaki megoldásra vonatkozóan a társadalmi hasznosság és költségek vizsgálata. Tekintettel arra, hogy ennek a vizsgálatnak a keretében a pénzügyi hasznokat és költségeket kell kiegészíteni vagy felváltani társadalmi költségekkel és hasznokkal, ezért ezt társadalmi-gazdasági elemzésnek is tekinthetjük.    </w:t>
      </w:r>
    </w:p>
    <w:p w:rsidR="009B5E74" w:rsidRPr="00D40DC4" w:rsidRDefault="009B5E74" w:rsidP="009B5E74">
      <w:pPr>
        <w:rPr>
          <w:rFonts w:cs="Arial"/>
        </w:rPr>
      </w:pPr>
      <w:r w:rsidRPr="00D40DC4">
        <w:rPr>
          <w:rFonts w:cs="Arial"/>
        </w:rPr>
        <w:t>A pénzügyi és a közgazdasági elemzéshez kapcsolódóan kell érzékenységvizsgálatot és kockázatelemzést is végezni.</w:t>
      </w:r>
    </w:p>
    <w:p w:rsidR="009B5E74" w:rsidRPr="00D40DC4" w:rsidRDefault="009B5E74" w:rsidP="009B5E74">
      <w:pPr>
        <w:rPr>
          <w:rFonts w:cs="Arial"/>
        </w:rPr>
      </w:pPr>
      <w:r w:rsidRPr="00D40DC4">
        <w:rPr>
          <w:rFonts w:cs="Arial"/>
        </w:rPr>
        <w:t xml:space="preserve">A költség-haszon elemzés a projekt előkészítés során a projekt műszaki tartalmának, intézményi és finanszírozási feltételeinek meghatározásában játszik fontos szerepet. Az EU támogatás hatékony felhasználásáért felelős szervezetek számára azonban az egyes projektek költség-haszon mutatói a projektek összehasonlíthatóságát is szolgálják és a közöttük történő választást segítik. </w:t>
      </w:r>
    </w:p>
    <w:p w:rsidR="009B5E74" w:rsidRPr="00D40DC4" w:rsidRDefault="009B5E74" w:rsidP="005A76C2">
      <w:pPr>
        <w:pStyle w:val="Cmsor4"/>
      </w:pPr>
      <w:r w:rsidRPr="00D40DC4">
        <w:t>Érzékenységvizsgálat és kockázatelemzés</w:t>
      </w:r>
    </w:p>
    <w:p w:rsidR="009B5E74" w:rsidRPr="00D40DC4" w:rsidRDefault="009B5E74" w:rsidP="009B5E74">
      <w:pPr>
        <w:rPr>
          <w:rFonts w:cs="Arial"/>
        </w:rPr>
      </w:pPr>
      <w:r w:rsidRPr="00D40DC4">
        <w:rPr>
          <w:rFonts w:cs="Arial"/>
        </w:rPr>
        <w:t>Az érzékenységvizsgálat és a kockázatelemzés célja annak vizsgálata, hogy az alapeset szerinti legjobb becsléstől való eltérés, illetve az eltérések bekövetkezésének valószínűsége milyen hatással van a teljesítménymutatók alakulására.</w:t>
      </w:r>
    </w:p>
    <w:p w:rsidR="009B5E74" w:rsidRPr="00D40DC4" w:rsidRDefault="009B5E74" w:rsidP="009B5E74">
      <w:pPr>
        <w:rPr>
          <w:rFonts w:cs="Arial"/>
        </w:rPr>
      </w:pPr>
      <w:r w:rsidRPr="00D40DC4">
        <w:rPr>
          <w:rFonts w:cs="Arial"/>
        </w:rPr>
        <w:t>Az érzékenységvizsgálat során meg kell vizsgál</w:t>
      </w:r>
      <w:r w:rsidR="009E0823" w:rsidRPr="00D40DC4">
        <w:rPr>
          <w:rFonts w:cs="Arial"/>
        </w:rPr>
        <w:t>ni azokat a hatásokat, amelyeket</w:t>
      </w:r>
      <w:r w:rsidRPr="00D40DC4">
        <w:rPr>
          <w:rFonts w:cs="Arial"/>
        </w:rPr>
        <w:t xml:space="preserve"> a költségeket és hasznokat meghatározó változók feltételezett változásai okoznak a teljesítménymutatókban.</w:t>
      </w:r>
    </w:p>
    <w:p w:rsidR="009B5E74" w:rsidRPr="00D40DC4" w:rsidRDefault="009B5E74" w:rsidP="009B5E74">
      <w:pPr>
        <w:rPr>
          <w:rFonts w:cs="Arial"/>
        </w:rPr>
      </w:pPr>
      <w:r w:rsidRPr="00D40DC4">
        <w:rPr>
          <w:rFonts w:cs="Arial"/>
        </w:rPr>
        <w:t>A kockázatelemzés célja, hogy feltérképezze a projekt potenciális kockázati tényezőit, azokat értékelje, kockázat mérséklési- illetve megelőzési intézkedéseket javasoljon, beleértve az intézkedések végrehajtása mellett fennmaradó kockázat értékelését is. Amennyiben a kockázat mérséklési- és megelőzési stratégiák után fennmaradó kockázat jelentős, kvantitatív kockázatelemzést is készíteni kell.</w:t>
      </w:r>
    </w:p>
    <w:p w:rsidR="009B5E74" w:rsidRPr="00D40DC4" w:rsidRDefault="009B5E74" w:rsidP="009B5E74">
      <w:pPr>
        <w:rPr>
          <w:rFonts w:cs="Arial"/>
        </w:rPr>
      </w:pPr>
      <w:r w:rsidRPr="00D40DC4">
        <w:rPr>
          <w:rFonts w:cs="Arial"/>
        </w:rPr>
        <w:t>A költség–haszon elemzés egyes elemeinek kapcsolatát, valamint az egyes elemek célját, helyét, outputját és eredményét az alábbi ábra mutatja.</w:t>
      </w:r>
    </w:p>
    <w:p w:rsidR="009B5E74" w:rsidRPr="00D40DC4" w:rsidRDefault="009B5E74" w:rsidP="009B5E74">
      <w:pPr>
        <w:rPr>
          <w:rFonts w:cs="Arial"/>
        </w:rPr>
        <w:sectPr w:rsidR="009B5E74" w:rsidRPr="00D40DC4" w:rsidSect="00CE1295">
          <w:headerReference w:type="default" r:id="rId11"/>
          <w:footerReference w:type="default" r:id="rId12"/>
          <w:footerReference w:type="first" r:id="rId13"/>
          <w:pgSz w:w="11906" w:h="16838"/>
          <w:pgMar w:top="1417" w:right="1417" w:bottom="1417" w:left="1417" w:header="708" w:footer="708" w:gutter="0"/>
          <w:cols w:space="708"/>
          <w:titlePg/>
          <w:docGrid w:linePitch="360"/>
        </w:sectPr>
      </w:pPr>
    </w:p>
    <w:p w:rsidR="009B5E74" w:rsidRPr="00D40DC4" w:rsidRDefault="002C4DE0" w:rsidP="009B5E74">
      <w:pPr>
        <w:keepNext/>
      </w:pPr>
      <w:r>
        <w:lastRenderedPageBreak/>
        <w:fldChar w:fldCharType="begin"/>
      </w:r>
      <w:r>
        <w:instrText xml:space="preserve"> SEQ ábra \* ARABIC </w:instrText>
      </w:r>
      <w:r>
        <w:fldChar w:fldCharType="separate"/>
      </w:r>
      <w:bookmarkStart w:id="11" w:name="_Toc436923927"/>
      <w:r w:rsidR="007B4938" w:rsidRPr="00D40DC4">
        <w:rPr>
          <w:noProof/>
        </w:rPr>
        <w:t>1</w:t>
      </w:r>
      <w:r>
        <w:rPr>
          <w:noProof/>
        </w:rPr>
        <w:fldChar w:fldCharType="end"/>
      </w:r>
      <w:r w:rsidR="009B5E74" w:rsidRPr="00D40DC4">
        <w:t>. ábra: A költség-haszon elemzés elemei</w:t>
      </w:r>
      <w:bookmarkEnd w:id="11"/>
    </w:p>
    <w:p w:rsidR="009B5E74" w:rsidRPr="00D40DC4" w:rsidRDefault="009B5E74" w:rsidP="009B5E74">
      <w:pPr>
        <w:rPr>
          <w:rFonts w:cs="Arial"/>
        </w:rPr>
      </w:pPr>
      <w:r w:rsidRPr="00D40DC4">
        <w:rPr>
          <w:rFonts w:cs="Arial"/>
          <w:noProof/>
          <w:lang w:eastAsia="hu-HU"/>
        </w:rPr>
        <mc:AlternateContent>
          <mc:Choice Requires="wpc">
            <w:drawing>
              <wp:inline distT="0" distB="0" distL="0" distR="0" wp14:anchorId="74970E38" wp14:editId="62097F7D">
                <wp:extent cx="9399905" cy="6008177"/>
                <wp:effectExtent l="0" t="0" r="10795" b="12065"/>
                <wp:docPr id="110" name="Vászon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lgn="ctr">
                          <a:solidFill>
                            <a:srgbClr val="000000"/>
                          </a:solidFill>
                          <a:prstDash val="sysDot"/>
                          <a:miter lim="800000"/>
                          <a:headEnd type="none" w="med" len="med"/>
                          <a:tailEnd type="none" w="med" len="med"/>
                        </a:ln>
                      </wpc:whole>
                      <wps:wsp>
                        <wps:cNvPr id="24" name="Text Box 109"/>
                        <wps:cNvSpPr txBox="1">
                          <a:spLocks noChangeArrowheads="1"/>
                        </wps:cNvSpPr>
                        <wps:spPr bwMode="auto">
                          <a:xfrm>
                            <a:off x="4219395" y="54565"/>
                            <a:ext cx="1684002" cy="318019"/>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Helye</w:t>
                              </w:r>
                            </w:p>
                          </w:txbxContent>
                        </wps:txbx>
                        <wps:bodyPr rot="0" vert="horz" wrap="square" lIns="36000" tIns="36000" rIns="36000" bIns="36000" anchor="t" anchorCtr="0" upright="1">
                          <a:noAutofit/>
                        </wps:bodyPr>
                      </wps:wsp>
                      <wps:wsp>
                        <wps:cNvPr id="26" name="Text Box 110"/>
                        <wps:cNvSpPr txBox="1">
                          <a:spLocks noChangeArrowheads="1"/>
                        </wps:cNvSpPr>
                        <wps:spPr bwMode="auto">
                          <a:xfrm>
                            <a:off x="6084666" y="54556"/>
                            <a:ext cx="1404796" cy="318019"/>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Output</w:t>
                              </w:r>
                            </w:p>
                          </w:txbxContent>
                        </wps:txbx>
                        <wps:bodyPr rot="0" vert="horz" wrap="square" lIns="36000" tIns="36000" rIns="36000" bIns="36000" anchor="t" anchorCtr="0" upright="1">
                          <a:noAutofit/>
                        </wps:bodyPr>
                      </wps:wsp>
                      <wps:wsp>
                        <wps:cNvPr id="29" name="Text Box 111"/>
                        <wps:cNvSpPr txBox="1">
                          <a:spLocks noChangeArrowheads="1"/>
                        </wps:cNvSpPr>
                        <wps:spPr bwMode="auto">
                          <a:xfrm>
                            <a:off x="7633515" y="54556"/>
                            <a:ext cx="1702783" cy="318019"/>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Következtetés</w:t>
                              </w:r>
                            </w:p>
                          </w:txbxContent>
                        </wps:txbx>
                        <wps:bodyPr rot="0" vert="horz" wrap="square" lIns="36000" tIns="36000" rIns="36000" bIns="36000" anchor="t" anchorCtr="0" upright="1">
                          <a:noAutofit/>
                        </wps:bodyPr>
                      </wps:wsp>
                      <wps:wsp>
                        <wps:cNvPr id="224" name="Text Box 112"/>
                        <wps:cNvSpPr txBox="1">
                          <a:spLocks noChangeArrowheads="1"/>
                        </wps:cNvSpPr>
                        <wps:spPr bwMode="auto">
                          <a:xfrm>
                            <a:off x="2580468" y="54557"/>
                            <a:ext cx="1352210" cy="318019"/>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Célja</w:t>
                              </w:r>
                            </w:p>
                          </w:txbxContent>
                        </wps:txbx>
                        <wps:bodyPr rot="0" vert="horz" wrap="square" lIns="36000" tIns="36000" rIns="36000" bIns="36000" anchor="t" anchorCtr="0" upright="1">
                          <a:noAutofit/>
                        </wps:bodyPr>
                      </wps:wsp>
                      <wps:wsp>
                        <wps:cNvPr id="225" name="Text Box 113"/>
                        <wps:cNvSpPr txBox="1">
                          <a:spLocks noChangeArrowheads="1"/>
                        </wps:cNvSpPr>
                        <wps:spPr bwMode="auto">
                          <a:xfrm>
                            <a:off x="6084944" y="1618794"/>
                            <a:ext cx="1412307" cy="384935"/>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 xml:space="preserve">Közgazdasági </w:t>
                              </w:r>
                              <w:r>
                                <w:rPr>
                                  <w:sz w:val="16"/>
                                  <w:szCs w:val="16"/>
                                </w:rPr>
                                <w:t>t</w:t>
                              </w:r>
                              <w:r w:rsidRPr="00CE1295">
                                <w:rPr>
                                  <w:sz w:val="16"/>
                                  <w:szCs w:val="16"/>
                                </w:rPr>
                                <w:t xml:space="preserve">eljesítmény mutatók: </w:t>
                              </w:r>
                              <w:r>
                                <w:rPr>
                                  <w:sz w:val="16"/>
                                  <w:szCs w:val="16"/>
                                </w:rPr>
                                <w:t>E</w:t>
                              </w:r>
                              <w:r w:rsidRPr="00CE1295">
                                <w:rPr>
                                  <w:sz w:val="16"/>
                                  <w:szCs w:val="16"/>
                                </w:rPr>
                                <w:t>NPV, ERR, BCR</w:t>
                              </w:r>
                            </w:p>
                          </w:txbxContent>
                        </wps:txbx>
                        <wps:bodyPr rot="0" vert="horz" wrap="square" lIns="36000" tIns="36000" rIns="36000" bIns="36000" anchor="t" anchorCtr="0" upright="1">
                          <a:noAutofit/>
                        </wps:bodyPr>
                      </wps:wsp>
                      <wps:wsp>
                        <wps:cNvPr id="226" name="Text Box 114"/>
                        <wps:cNvSpPr txBox="1">
                          <a:spLocks noChangeArrowheads="1"/>
                        </wps:cNvSpPr>
                        <wps:spPr bwMode="auto">
                          <a:xfrm>
                            <a:off x="7614319" y="494893"/>
                            <a:ext cx="1755995" cy="150868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p>
                            <w:p w:rsidR="00657272" w:rsidRPr="00CE1295" w:rsidRDefault="00657272" w:rsidP="009B5E74">
                              <w:pPr>
                                <w:rPr>
                                  <w:sz w:val="16"/>
                                  <w:szCs w:val="16"/>
                                </w:rPr>
                              </w:pPr>
                              <w:r w:rsidRPr="00CE1295">
                                <w:rPr>
                                  <w:sz w:val="16"/>
                                  <w:szCs w:val="16"/>
                                </w:rPr>
                                <w:t>A legmegfelelőbb, hatékony műszaki megoldás kiválasztása, ami a további kidolgozás alapját képezi</w:t>
                              </w:r>
                            </w:p>
                          </w:txbxContent>
                        </wps:txbx>
                        <wps:bodyPr rot="0" vert="horz" wrap="square" lIns="36000" tIns="36000" rIns="36000" bIns="36000" anchor="t" anchorCtr="0" upright="1">
                          <a:noAutofit/>
                        </wps:bodyPr>
                      </wps:wsp>
                      <wps:wsp>
                        <wps:cNvPr id="227" name="Text Box 115"/>
                        <wps:cNvSpPr txBox="1">
                          <a:spLocks noChangeArrowheads="1"/>
                        </wps:cNvSpPr>
                        <wps:spPr bwMode="auto">
                          <a:xfrm>
                            <a:off x="4219395" y="494893"/>
                            <a:ext cx="1684002" cy="150868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Pr>
                                  <w:sz w:val="16"/>
                                  <w:szCs w:val="16"/>
                                </w:rPr>
                                <w:t xml:space="preserve">Megvalósíthatósági tanulmány részeként: </w:t>
                              </w:r>
                            </w:p>
                            <w:p w:rsidR="00657272" w:rsidRPr="00CE1295" w:rsidRDefault="00657272" w:rsidP="00C3482E">
                              <w:pPr>
                                <w:ind w:left="170"/>
                                <w:rPr>
                                  <w:sz w:val="16"/>
                                  <w:szCs w:val="16"/>
                                </w:rPr>
                              </w:pPr>
                              <w:r>
                                <w:rPr>
                                  <w:sz w:val="16"/>
                                  <w:szCs w:val="16"/>
                                </w:rPr>
                                <w:t>a</w:t>
                              </w:r>
                              <w:r w:rsidRPr="00CE1295">
                                <w:rPr>
                                  <w:sz w:val="16"/>
                                  <w:szCs w:val="16"/>
                                </w:rPr>
                                <w:t xml:space="preserve"> tanulmánytervek és műszaki költségbecslések alapján a részletes műszaki tervezés és engedélyezések előtt </w:t>
                              </w:r>
                            </w:p>
                          </w:txbxContent>
                        </wps:txbx>
                        <wps:bodyPr rot="0" vert="horz" wrap="square" lIns="36000" tIns="36000" rIns="36000" bIns="36000" anchor="t" anchorCtr="0" upright="1">
                          <a:noAutofit/>
                        </wps:bodyPr>
                      </wps:wsp>
                      <wps:wsp>
                        <wps:cNvPr id="228" name="Text Box 116"/>
                        <wps:cNvSpPr txBox="1">
                          <a:spLocks noChangeArrowheads="1"/>
                        </wps:cNvSpPr>
                        <wps:spPr bwMode="auto">
                          <a:xfrm>
                            <a:off x="2580468" y="494966"/>
                            <a:ext cx="1352210" cy="1445487"/>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p>
                            <w:p w:rsidR="00657272" w:rsidRPr="00CE1295" w:rsidRDefault="00657272" w:rsidP="009644DF">
                              <w:pPr>
                                <w:jc w:val="left"/>
                                <w:rPr>
                                  <w:sz w:val="16"/>
                                  <w:szCs w:val="16"/>
                                </w:rPr>
                              </w:pPr>
                              <w:r w:rsidRPr="00CE1295">
                                <w:rPr>
                                  <w:sz w:val="16"/>
                                  <w:szCs w:val="16"/>
                                </w:rPr>
                                <w:t>A műszakilag megvalósítható és jogilag megfelelő projekt változatok közötti választás</w:t>
                              </w:r>
                            </w:p>
                          </w:txbxContent>
                        </wps:txbx>
                        <wps:bodyPr rot="0" vert="horz" wrap="square" lIns="36000" tIns="36000" rIns="36000" bIns="36000" anchor="t" anchorCtr="0" upright="1">
                          <a:noAutofit/>
                        </wps:bodyPr>
                      </wps:wsp>
                      <wps:wsp>
                        <wps:cNvPr id="229" name="Text Box 117"/>
                        <wps:cNvSpPr txBox="1">
                          <a:spLocks noChangeArrowheads="1"/>
                        </wps:cNvSpPr>
                        <wps:spPr bwMode="auto">
                          <a:xfrm>
                            <a:off x="2580467" y="2267733"/>
                            <a:ext cx="1352210" cy="444430"/>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Pénzügyi megtérülés, vizsgálata</w:t>
                              </w:r>
                            </w:p>
                          </w:txbxContent>
                        </wps:txbx>
                        <wps:bodyPr rot="0" vert="horz" wrap="square" lIns="36000" tIns="36000" rIns="36000" bIns="36000" anchor="t" anchorCtr="0" upright="1">
                          <a:noAutofit/>
                        </wps:bodyPr>
                      </wps:wsp>
                      <wps:wsp>
                        <wps:cNvPr id="230" name="Text Box 118"/>
                        <wps:cNvSpPr txBox="1">
                          <a:spLocks noChangeArrowheads="1"/>
                        </wps:cNvSpPr>
                        <wps:spPr bwMode="auto">
                          <a:xfrm>
                            <a:off x="4219394" y="2426768"/>
                            <a:ext cx="1684002" cy="874555"/>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9E0823">
                                <w:rPr>
                                  <w:sz w:val="16"/>
                                  <w:szCs w:val="16"/>
                                </w:rPr>
                                <w:t>A kiválasztott változatra részletesen a műszaki költségbecslések és piaci elemzések, jogszabályi /szerződéses előírások alapján</w:t>
                              </w:r>
                            </w:p>
                          </w:txbxContent>
                        </wps:txbx>
                        <wps:bodyPr rot="0" vert="horz" wrap="square" lIns="36000" tIns="36000" rIns="36000" bIns="36000" anchor="t" anchorCtr="0" upright="1">
                          <a:noAutofit/>
                        </wps:bodyPr>
                      </wps:wsp>
                      <wps:wsp>
                        <wps:cNvPr id="82" name="Text Box 119"/>
                        <wps:cNvSpPr txBox="1">
                          <a:spLocks noChangeArrowheads="1"/>
                        </wps:cNvSpPr>
                        <wps:spPr bwMode="auto">
                          <a:xfrm>
                            <a:off x="6092455" y="2267759"/>
                            <a:ext cx="1407300" cy="718675"/>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 xml:space="preserve">Pénzügyi teljesítmény mutatók </w:t>
                              </w:r>
                            </w:p>
                            <w:p w:rsidR="00657272" w:rsidRPr="00CE1295" w:rsidRDefault="00657272" w:rsidP="009B5E74">
                              <w:pPr>
                                <w:rPr>
                                  <w:sz w:val="16"/>
                                  <w:szCs w:val="16"/>
                                </w:rPr>
                              </w:pPr>
                              <w:r>
                                <w:rPr>
                                  <w:sz w:val="16"/>
                                  <w:szCs w:val="16"/>
                                </w:rPr>
                                <w:t>E</w:t>
                              </w:r>
                              <w:r w:rsidRPr="00CE1295">
                                <w:rPr>
                                  <w:sz w:val="16"/>
                                  <w:szCs w:val="16"/>
                                </w:rPr>
                                <w:t>NPV, FRR, BCR</w:t>
                              </w:r>
                            </w:p>
                          </w:txbxContent>
                        </wps:txbx>
                        <wps:bodyPr rot="0" vert="horz" wrap="square" lIns="36000" tIns="36000" rIns="36000" bIns="36000" anchor="t" anchorCtr="0" upright="1">
                          <a:noAutofit/>
                        </wps:bodyPr>
                      </wps:wsp>
                      <wps:wsp>
                        <wps:cNvPr id="83" name="Text Box 120"/>
                        <wps:cNvSpPr txBox="1">
                          <a:spLocks noChangeArrowheads="1"/>
                        </wps:cNvSpPr>
                        <wps:spPr bwMode="auto">
                          <a:xfrm>
                            <a:off x="7614318" y="2267758"/>
                            <a:ext cx="1755995" cy="1351584"/>
                          </a:xfrm>
                          <a:prstGeom prst="rect">
                            <a:avLst/>
                          </a:prstGeom>
                          <a:solidFill>
                            <a:srgbClr val="FFFFFF"/>
                          </a:solidFill>
                          <a:ln w="9525">
                            <a:solidFill>
                              <a:srgbClr val="000000"/>
                            </a:solidFill>
                            <a:miter lim="800000"/>
                            <a:headEnd/>
                            <a:tailEnd/>
                          </a:ln>
                        </wps:spPr>
                        <wps:txbx>
                          <w:txbxContent>
                            <w:p w:rsidR="00657272" w:rsidRPr="009E0823" w:rsidRDefault="00657272" w:rsidP="009E0823">
                              <w:pPr>
                                <w:spacing w:after="0"/>
                                <w:rPr>
                                  <w:sz w:val="16"/>
                                  <w:szCs w:val="16"/>
                                </w:rPr>
                              </w:pPr>
                              <w:r w:rsidRPr="009E0823">
                                <w:rPr>
                                  <w:sz w:val="16"/>
                                  <w:szCs w:val="16"/>
                                </w:rPr>
                                <w:t xml:space="preserve">A tételes beruházási költség meghatározása </w:t>
                              </w:r>
                            </w:p>
                            <w:p w:rsidR="00657272" w:rsidRPr="009E0823" w:rsidRDefault="00657272" w:rsidP="009E0823">
                              <w:pPr>
                                <w:spacing w:after="0"/>
                                <w:rPr>
                                  <w:sz w:val="16"/>
                                  <w:szCs w:val="16"/>
                                </w:rPr>
                              </w:pPr>
                              <w:r w:rsidRPr="009E0823">
                                <w:rPr>
                                  <w:sz w:val="16"/>
                                  <w:szCs w:val="16"/>
                                </w:rPr>
                                <w:t>EU támogatási összeg, saját forrás igény és az egyéb támogatás összegének meghatározása</w:t>
                              </w:r>
                            </w:p>
                            <w:p w:rsidR="00657272" w:rsidRPr="009E0823" w:rsidRDefault="00657272" w:rsidP="009E0823">
                              <w:pPr>
                                <w:spacing w:after="0"/>
                                <w:rPr>
                                  <w:sz w:val="16"/>
                                  <w:szCs w:val="16"/>
                                </w:rPr>
                              </w:pPr>
                              <w:r w:rsidRPr="009E0823">
                                <w:rPr>
                                  <w:sz w:val="16"/>
                                  <w:szCs w:val="16"/>
                                </w:rPr>
                                <w:t xml:space="preserve">pénzügyi fenntarthatóság </w:t>
                              </w:r>
                            </w:p>
                          </w:txbxContent>
                        </wps:txbx>
                        <wps:bodyPr rot="0" vert="horz" wrap="square" lIns="36000" tIns="36000" rIns="36000" bIns="36000" anchor="t" anchorCtr="0" upright="1">
                          <a:noAutofit/>
                        </wps:bodyPr>
                      </wps:wsp>
                      <wps:wsp>
                        <wps:cNvPr id="84" name="Line 121"/>
                        <wps:cNvCnPr>
                          <a:cxnSpLocks noChangeShapeType="1"/>
                        </wps:cNvCnPr>
                        <wps:spPr bwMode="auto">
                          <a:xfrm>
                            <a:off x="122076" y="2188256"/>
                            <a:ext cx="8902046" cy="62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5" name="Line 122"/>
                        <wps:cNvCnPr>
                          <a:cxnSpLocks noChangeShapeType="1"/>
                        </wps:cNvCnPr>
                        <wps:spPr bwMode="auto">
                          <a:xfrm>
                            <a:off x="5009" y="3698849"/>
                            <a:ext cx="9014730" cy="62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6" name="Text Box 123"/>
                        <wps:cNvSpPr txBox="1">
                          <a:spLocks noChangeArrowheads="1"/>
                        </wps:cNvSpPr>
                        <wps:spPr bwMode="auto">
                          <a:xfrm>
                            <a:off x="122075" y="3778353"/>
                            <a:ext cx="2107194" cy="1272078"/>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19050">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 xml:space="preserve">Társadalmi </w:t>
                              </w:r>
                            </w:p>
                            <w:p w:rsidR="00657272" w:rsidRPr="00CE1295" w:rsidRDefault="00657272" w:rsidP="009B5E74">
                              <w:pPr>
                                <w:rPr>
                                  <w:sz w:val="16"/>
                                  <w:szCs w:val="16"/>
                                </w:rPr>
                              </w:pPr>
                              <w:r w:rsidRPr="00CE1295">
                                <w:rPr>
                                  <w:sz w:val="16"/>
                                  <w:szCs w:val="16"/>
                                </w:rPr>
                                <w:t>költségek és</w:t>
                              </w:r>
                            </w:p>
                            <w:p w:rsidR="00657272" w:rsidRPr="00CE1295" w:rsidRDefault="00657272" w:rsidP="009B5E74">
                              <w:pPr>
                                <w:rPr>
                                  <w:sz w:val="16"/>
                                  <w:szCs w:val="16"/>
                                </w:rPr>
                              </w:pPr>
                              <w:r w:rsidRPr="00CE1295">
                                <w:rPr>
                                  <w:sz w:val="16"/>
                                  <w:szCs w:val="16"/>
                                </w:rPr>
                                <w:t xml:space="preserve">hasznok </w:t>
                              </w:r>
                            </w:p>
                            <w:p w:rsidR="00657272" w:rsidRPr="00CE1295" w:rsidRDefault="00657272" w:rsidP="009B5E74">
                              <w:pPr>
                                <w:rPr>
                                  <w:sz w:val="16"/>
                                  <w:szCs w:val="16"/>
                                </w:rPr>
                              </w:pPr>
                              <w:r w:rsidRPr="00CE1295">
                                <w:rPr>
                                  <w:sz w:val="16"/>
                                  <w:szCs w:val="16"/>
                                </w:rPr>
                                <w:t>elemzése</w:t>
                              </w:r>
                            </w:p>
                          </w:txbxContent>
                        </wps:txbx>
                        <wps:bodyPr rot="0" vert="horz" wrap="square" lIns="36000" tIns="36000" rIns="36000" bIns="36000" anchor="t" anchorCtr="0" upright="1">
                          <a:noAutofit/>
                        </wps:bodyPr>
                      </wps:wsp>
                      <wps:wsp>
                        <wps:cNvPr id="87" name="Text Box 124"/>
                        <wps:cNvSpPr txBox="1">
                          <a:spLocks noChangeArrowheads="1"/>
                        </wps:cNvSpPr>
                        <wps:spPr bwMode="auto">
                          <a:xfrm>
                            <a:off x="4219395" y="3937362"/>
                            <a:ext cx="1675238" cy="1113070"/>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Kiválasztott változatra a részletes tervek, tanulmányok, műszaki költségbecslések, környezeti hatás és kereslet elemzés alapján</w:t>
                              </w:r>
                            </w:p>
                          </w:txbxContent>
                        </wps:txbx>
                        <wps:bodyPr rot="0" vert="horz" wrap="square" lIns="36000" tIns="36000" rIns="36000" bIns="36000" anchor="t" anchorCtr="0" upright="1">
                          <a:noAutofit/>
                        </wps:bodyPr>
                      </wps:wsp>
                      <wps:wsp>
                        <wps:cNvPr id="88" name="Text Box 125"/>
                        <wps:cNvSpPr txBox="1">
                          <a:spLocks noChangeArrowheads="1"/>
                        </wps:cNvSpPr>
                        <wps:spPr bwMode="auto">
                          <a:xfrm>
                            <a:off x="2580467" y="4255382"/>
                            <a:ext cx="1352210" cy="79504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A kiválasztott változat társadalmi hasznosságát vizsgálja</w:t>
                              </w:r>
                            </w:p>
                          </w:txbxContent>
                        </wps:txbx>
                        <wps:bodyPr rot="0" vert="horz" wrap="square" lIns="36000" tIns="36000" rIns="36000" bIns="36000" anchor="t" anchorCtr="0" upright="1">
                          <a:noAutofit/>
                        </wps:bodyPr>
                      </wps:wsp>
                      <wps:wsp>
                        <wps:cNvPr id="89" name="Text Box 126"/>
                        <wps:cNvSpPr txBox="1">
                          <a:spLocks noChangeArrowheads="1"/>
                        </wps:cNvSpPr>
                        <wps:spPr bwMode="auto">
                          <a:xfrm>
                            <a:off x="6092455" y="3778036"/>
                            <a:ext cx="1407300" cy="626236"/>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Közgazdasági  teljesítmény mutatók:</w:t>
                              </w:r>
                            </w:p>
                            <w:p w:rsidR="00657272" w:rsidRPr="00CE1295" w:rsidRDefault="00657272" w:rsidP="009B5E74">
                              <w:pPr>
                                <w:rPr>
                                  <w:sz w:val="16"/>
                                  <w:szCs w:val="16"/>
                                </w:rPr>
                              </w:pPr>
                              <w:r>
                                <w:rPr>
                                  <w:sz w:val="16"/>
                                  <w:szCs w:val="16"/>
                                </w:rPr>
                                <w:t>E</w:t>
                              </w:r>
                              <w:r w:rsidRPr="00CE1295">
                                <w:rPr>
                                  <w:sz w:val="16"/>
                                  <w:szCs w:val="16"/>
                                </w:rPr>
                                <w:t>NPV, ERR, BCR</w:t>
                              </w:r>
                            </w:p>
                          </w:txbxContent>
                        </wps:txbx>
                        <wps:bodyPr rot="0" vert="horz" wrap="square" lIns="36000" tIns="36000" rIns="36000" bIns="36000" anchor="t" anchorCtr="0" upright="1">
                          <a:noAutofit/>
                        </wps:bodyPr>
                      </wps:wsp>
                      <wps:wsp>
                        <wps:cNvPr id="90" name="Text Box 127"/>
                        <wps:cNvSpPr txBox="1">
                          <a:spLocks noChangeArrowheads="1"/>
                        </wps:cNvSpPr>
                        <wps:spPr bwMode="auto">
                          <a:xfrm>
                            <a:off x="7614318" y="3778353"/>
                            <a:ext cx="1755995" cy="1272078"/>
                          </a:xfrm>
                          <a:prstGeom prst="rect">
                            <a:avLst/>
                          </a:prstGeom>
                          <a:solidFill>
                            <a:srgbClr val="FFFFFF"/>
                          </a:solidFill>
                          <a:ln w="9525">
                            <a:solidFill>
                              <a:srgbClr val="000000"/>
                            </a:solidFill>
                            <a:miter lim="800000"/>
                            <a:headEnd/>
                            <a:tailEnd/>
                          </a:ln>
                        </wps:spPr>
                        <wps:txbx>
                          <w:txbxContent>
                            <w:p w:rsidR="00657272" w:rsidRPr="009E0823" w:rsidRDefault="00657272" w:rsidP="009E0823">
                              <w:pPr>
                                <w:spacing w:after="0"/>
                                <w:rPr>
                                  <w:sz w:val="16"/>
                                  <w:szCs w:val="16"/>
                                </w:rPr>
                              </w:pPr>
                              <w:r w:rsidRPr="009E0823">
                                <w:rPr>
                                  <w:sz w:val="16"/>
                                  <w:szCs w:val="16"/>
                                </w:rPr>
                                <w:t>A projekt támogatás jogosságának alátámasztása</w:t>
                              </w:r>
                            </w:p>
                            <w:p w:rsidR="00657272" w:rsidRPr="009E0823" w:rsidRDefault="00657272" w:rsidP="009E0823">
                              <w:pPr>
                                <w:spacing w:after="0"/>
                                <w:rPr>
                                  <w:sz w:val="16"/>
                                  <w:szCs w:val="16"/>
                                </w:rPr>
                              </w:pPr>
                              <w:r w:rsidRPr="009E0823">
                                <w:rPr>
                                  <w:sz w:val="16"/>
                                  <w:szCs w:val="16"/>
                                </w:rPr>
                                <w:t>A számított mutatók alapján lehetséges a más projektekkel történő összehasonlítás</w:t>
                              </w:r>
                            </w:p>
                          </w:txbxContent>
                        </wps:txbx>
                        <wps:bodyPr rot="0" vert="horz" wrap="square" lIns="36000" tIns="36000" rIns="36000" bIns="36000" anchor="t" anchorCtr="0" upright="1">
                          <a:noAutofit/>
                        </wps:bodyPr>
                      </wps:wsp>
                      <wps:wsp>
                        <wps:cNvPr id="91" name="AutoShape 128"/>
                        <wps:cNvSpPr>
                          <a:spLocks noChangeArrowheads="1"/>
                        </wps:cNvSpPr>
                        <wps:spPr bwMode="auto">
                          <a:xfrm>
                            <a:off x="4570594" y="2092458"/>
                            <a:ext cx="901473" cy="28713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36000" tIns="36000" rIns="36000" bIns="36000" anchor="t" anchorCtr="0" upright="1">
                          <a:noAutofit/>
                        </wps:bodyPr>
                      </wps:wsp>
                      <wps:wsp>
                        <wps:cNvPr id="92" name="Text Box 129"/>
                        <wps:cNvSpPr txBox="1">
                          <a:spLocks noChangeArrowheads="1"/>
                        </wps:cNvSpPr>
                        <wps:spPr bwMode="auto">
                          <a:xfrm>
                            <a:off x="122076" y="532698"/>
                            <a:ext cx="2111575" cy="1430024"/>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19050">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Változat-</w:t>
                              </w:r>
                            </w:p>
                            <w:p w:rsidR="00657272" w:rsidRPr="00CE1295" w:rsidRDefault="00657272" w:rsidP="009B5E74">
                              <w:pPr>
                                <w:rPr>
                                  <w:sz w:val="16"/>
                                  <w:szCs w:val="16"/>
                                </w:rPr>
                              </w:pPr>
                              <w:r w:rsidRPr="00CE1295">
                                <w:rPr>
                                  <w:sz w:val="16"/>
                                  <w:szCs w:val="16"/>
                                </w:rPr>
                                <w:t>elemzés</w:t>
                              </w:r>
                            </w:p>
                          </w:txbxContent>
                        </wps:txbx>
                        <wps:bodyPr rot="0" vert="horz" wrap="square" lIns="36000" tIns="36000" rIns="36000" bIns="36000" anchor="t" anchorCtr="0" upright="1">
                          <a:noAutofit/>
                        </wps:bodyPr>
                      </wps:wsp>
                      <wps:wsp>
                        <wps:cNvPr id="93" name="Text Box 130"/>
                        <wps:cNvSpPr txBox="1">
                          <a:spLocks noChangeArrowheads="1"/>
                        </wps:cNvSpPr>
                        <wps:spPr bwMode="auto">
                          <a:xfrm>
                            <a:off x="6077431" y="523547"/>
                            <a:ext cx="1422323" cy="525985"/>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Költség-hatékonyság elemzés esetén: legkisebb költségű változat vagy legjobb mutató</w:t>
                              </w:r>
                            </w:p>
                          </w:txbxContent>
                        </wps:txbx>
                        <wps:bodyPr rot="0" vert="horz" wrap="square" lIns="36000" tIns="36000" rIns="36000" bIns="36000" anchor="t" anchorCtr="0" upright="1">
                          <a:noAutofit/>
                        </wps:bodyPr>
                      </wps:wsp>
                      <wps:wsp>
                        <wps:cNvPr id="94" name="Text Box 131"/>
                        <wps:cNvSpPr txBox="1">
                          <a:spLocks noChangeArrowheads="1"/>
                        </wps:cNvSpPr>
                        <wps:spPr bwMode="auto">
                          <a:xfrm>
                            <a:off x="790400" y="1115032"/>
                            <a:ext cx="1352210" cy="324153"/>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Többszempontú értékelés</w:t>
                              </w:r>
                            </w:p>
                          </w:txbxContent>
                        </wps:txbx>
                        <wps:bodyPr rot="0" vert="horz" wrap="square" lIns="36000" tIns="36000" rIns="36000" bIns="36000" anchor="t" anchorCtr="0" upright="1">
                          <a:noAutofit/>
                        </wps:bodyPr>
                      </wps:wsp>
                      <wps:wsp>
                        <wps:cNvPr id="95" name="AutoShape 132"/>
                        <wps:cNvSpPr>
                          <a:spLocks noChangeArrowheads="1"/>
                        </wps:cNvSpPr>
                        <wps:spPr bwMode="auto">
                          <a:xfrm>
                            <a:off x="4570594" y="3460334"/>
                            <a:ext cx="901473" cy="39752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36000" tIns="36000" rIns="36000" bIns="36000" anchor="t" anchorCtr="0" upright="1">
                          <a:noAutofit/>
                        </wps:bodyPr>
                      </wps:wsp>
                      <wps:wsp>
                        <wps:cNvPr id="306" name="Text Box 133"/>
                        <wps:cNvSpPr txBox="1">
                          <a:spLocks noChangeArrowheads="1"/>
                        </wps:cNvSpPr>
                        <wps:spPr bwMode="auto">
                          <a:xfrm>
                            <a:off x="122075" y="5209441"/>
                            <a:ext cx="2107194" cy="795049"/>
                          </a:xfrm>
                          <a:prstGeom prst="rect">
                            <a:avLst/>
                          </a:prstGeom>
                          <a:solidFill>
                            <a:srgbClr val="DDDDDD"/>
                          </a:solidFill>
                          <a:ln w="9525">
                            <a:solidFill>
                              <a:srgbClr val="000000"/>
                            </a:solidFill>
                            <a:prstDash val="lgDash"/>
                            <a:miter lim="800000"/>
                            <a:headEnd/>
                            <a:tailEnd/>
                          </a:ln>
                        </wps:spPr>
                        <wps:txbx>
                          <w:txbxContent>
                            <w:p w:rsidR="00657272" w:rsidRPr="00CE1295" w:rsidRDefault="00657272" w:rsidP="009B5E74">
                              <w:pPr>
                                <w:rPr>
                                  <w:sz w:val="16"/>
                                  <w:szCs w:val="16"/>
                                </w:rPr>
                              </w:pPr>
                              <w:r w:rsidRPr="00CE1295">
                                <w:rPr>
                                  <w:sz w:val="16"/>
                                  <w:szCs w:val="16"/>
                                </w:rPr>
                                <w:t xml:space="preserve">Érzékenység-, </w:t>
                              </w:r>
                            </w:p>
                            <w:p w:rsidR="00657272" w:rsidRPr="00CE1295" w:rsidRDefault="00657272" w:rsidP="009B5E74">
                              <w:pPr>
                                <w:rPr>
                                  <w:sz w:val="16"/>
                                  <w:szCs w:val="16"/>
                                </w:rPr>
                              </w:pPr>
                              <w:r w:rsidRPr="00CE1295">
                                <w:rPr>
                                  <w:sz w:val="16"/>
                                  <w:szCs w:val="16"/>
                                </w:rPr>
                                <w:t>szcenárió-, és kockázat</w:t>
                              </w:r>
                            </w:p>
                            <w:p w:rsidR="00657272" w:rsidRPr="00CE1295" w:rsidRDefault="00657272" w:rsidP="009B5E74">
                              <w:pPr>
                                <w:rPr>
                                  <w:sz w:val="16"/>
                                  <w:szCs w:val="16"/>
                                </w:rPr>
                              </w:pPr>
                              <w:r w:rsidRPr="00CE1295">
                                <w:rPr>
                                  <w:sz w:val="16"/>
                                  <w:szCs w:val="16"/>
                                </w:rPr>
                                <w:t>elemzés</w:t>
                              </w:r>
                            </w:p>
                          </w:txbxContent>
                        </wps:txbx>
                        <wps:bodyPr rot="0" vert="horz" wrap="square" lIns="36000" tIns="36000" rIns="36000" bIns="36000" anchor="t" anchorCtr="0" upright="1">
                          <a:noAutofit/>
                        </wps:bodyPr>
                      </wps:wsp>
                      <wps:wsp>
                        <wps:cNvPr id="307" name="Text Box 134"/>
                        <wps:cNvSpPr txBox="1">
                          <a:spLocks noChangeArrowheads="1"/>
                        </wps:cNvSpPr>
                        <wps:spPr bwMode="auto">
                          <a:xfrm>
                            <a:off x="790400" y="1534023"/>
                            <a:ext cx="1352210" cy="40641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Közgazdasági költség-haszon elemzés</w:t>
                              </w:r>
                            </w:p>
                          </w:txbxContent>
                        </wps:txbx>
                        <wps:bodyPr rot="0" vert="horz" wrap="square" lIns="36000" tIns="36000" rIns="36000" bIns="36000" anchor="t" anchorCtr="0" upright="1">
                          <a:noAutofit/>
                        </wps:bodyPr>
                      </wps:wsp>
                      <wps:wsp>
                        <wps:cNvPr id="315" name="Text Box 135"/>
                        <wps:cNvSpPr txBox="1">
                          <a:spLocks noChangeArrowheads="1"/>
                        </wps:cNvSpPr>
                        <wps:spPr bwMode="auto">
                          <a:xfrm>
                            <a:off x="6084665" y="1103840"/>
                            <a:ext cx="1415090" cy="471384"/>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Többszempontú elemzés esetén: egy súlyozott pontszám</w:t>
                              </w:r>
                            </w:p>
                            <w:p w:rsidR="00657272" w:rsidRPr="00CE1295" w:rsidRDefault="00657272" w:rsidP="009B5E74">
                              <w:pPr>
                                <w:rPr>
                                  <w:sz w:val="16"/>
                                  <w:szCs w:val="16"/>
                                </w:rPr>
                              </w:pPr>
                            </w:p>
                          </w:txbxContent>
                        </wps:txbx>
                        <wps:bodyPr rot="0" vert="horz" wrap="square" lIns="36000" tIns="36000" rIns="36000" bIns="36000" anchor="t" anchorCtr="0" upright="1">
                          <a:noAutofit/>
                        </wps:bodyPr>
                      </wps:wsp>
                      <wps:wsp>
                        <wps:cNvPr id="316" name="Text Box 136"/>
                        <wps:cNvSpPr txBox="1">
                          <a:spLocks noChangeArrowheads="1"/>
                        </wps:cNvSpPr>
                        <wps:spPr bwMode="auto">
                          <a:xfrm>
                            <a:off x="122075" y="2267757"/>
                            <a:ext cx="2107194" cy="1352210"/>
                          </a:xfrm>
                          <a:prstGeom prst="rect">
                            <a:avLst/>
                          </a:prstGeom>
                          <a:gradFill rotWithShape="1">
                            <a:gsLst>
                              <a:gs pos="0">
                                <a:srgbClr val="FFFFFF">
                                  <a:gamma/>
                                  <a:shade val="46275"/>
                                  <a:invGamma/>
                                </a:srgbClr>
                              </a:gs>
                              <a:gs pos="50000">
                                <a:srgbClr val="FFFFFF"/>
                              </a:gs>
                              <a:gs pos="100000">
                                <a:srgbClr val="FFFFFF">
                                  <a:gamma/>
                                  <a:shade val="46275"/>
                                  <a:invGamma/>
                                </a:srgbClr>
                              </a:gs>
                            </a:gsLst>
                            <a:lin ang="0" scaled="1"/>
                          </a:gradFill>
                          <a:ln w="19050">
                            <a:solidFill>
                              <a:srgbClr val="000000"/>
                            </a:solidFill>
                            <a:miter lim="800000"/>
                            <a:headEnd/>
                            <a:tailEnd/>
                          </a:ln>
                        </wps:spPr>
                        <wps:txbx>
                          <w:txbxContent>
                            <w:p w:rsidR="00657272" w:rsidRPr="00CE1295" w:rsidRDefault="00657272" w:rsidP="009B5E74">
                              <w:pPr>
                                <w:rPr>
                                  <w:sz w:val="16"/>
                                  <w:szCs w:val="16"/>
                                </w:rPr>
                              </w:pPr>
                            </w:p>
                            <w:p w:rsidR="00657272" w:rsidRPr="00CE1295" w:rsidRDefault="00657272" w:rsidP="009B5E74">
                              <w:pPr>
                                <w:rPr>
                                  <w:sz w:val="16"/>
                                  <w:szCs w:val="16"/>
                                </w:rPr>
                              </w:pPr>
                            </w:p>
                            <w:p w:rsidR="00657272" w:rsidRPr="00CE1295" w:rsidRDefault="00657272" w:rsidP="009B5E74">
                              <w:pPr>
                                <w:rPr>
                                  <w:sz w:val="16"/>
                                  <w:szCs w:val="16"/>
                                </w:rPr>
                              </w:pPr>
                              <w:r w:rsidRPr="00CE1295">
                                <w:rPr>
                                  <w:sz w:val="16"/>
                                  <w:szCs w:val="16"/>
                                </w:rPr>
                                <w:t>Pénzügyi elemzés</w:t>
                              </w:r>
                            </w:p>
                          </w:txbxContent>
                        </wps:txbx>
                        <wps:bodyPr rot="0" vert="horz" wrap="square" lIns="36000" tIns="36000" rIns="36000" bIns="36000" anchor="t" anchorCtr="0" upright="1">
                          <a:noAutofit/>
                        </wps:bodyPr>
                      </wps:wsp>
                      <wps:wsp>
                        <wps:cNvPr id="97" name="Text Box 138"/>
                        <wps:cNvSpPr txBox="1">
                          <a:spLocks noChangeArrowheads="1"/>
                        </wps:cNvSpPr>
                        <wps:spPr bwMode="auto">
                          <a:xfrm>
                            <a:off x="1034751" y="4120250"/>
                            <a:ext cx="936530" cy="556534"/>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Közgazdasági költség-haszon</w:t>
                              </w:r>
                              <w:r>
                                <w:rPr>
                                  <w:sz w:val="16"/>
                                  <w:szCs w:val="16"/>
                                </w:rPr>
                                <w:t xml:space="preserve"> </w:t>
                              </w:r>
                              <w:r w:rsidRPr="00CE1295">
                                <w:rPr>
                                  <w:sz w:val="16"/>
                                  <w:szCs w:val="16"/>
                                </w:rPr>
                                <w:t>elemzés</w:t>
                              </w:r>
                            </w:p>
                          </w:txbxContent>
                        </wps:txbx>
                        <wps:bodyPr rot="0" vert="horz" wrap="square" lIns="36000" tIns="36000" rIns="36000" bIns="36000" anchor="t" anchorCtr="0" upright="1">
                          <a:noAutofit/>
                        </wps:bodyPr>
                      </wps:wsp>
                      <wps:wsp>
                        <wps:cNvPr id="98" name="Text Box 139"/>
                        <wps:cNvSpPr txBox="1">
                          <a:spLocks noChangeArrowheads="1"/>
                        </wps:cNvSpPr>
                        <wps:spPr bwMode="auto">
                          <a:xfrm>
                            <a:off x="2580467" y="3301080"/>
                            <a:ext cx="1352211" cy="79504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EU támogatás számítása</w:t>
                              </w:r>
                            </w:p>
                            <w:p w:rsidR="00657272" w:rsidRPr="00CE1295" w:rsidRDefault="00657272" w:rsidP="009B5E74">
                              <w:pPr>
                                <w:rPr>
                                  <w:sz w:val="16"/>
                                  <w:szCs w:val="16"/>
                                </w:rPr>
                              </w:pPr>
                              <w:r w:rsidRPr="00CE1295">
                                <w:rPr>
                                  <w:sz w:val="16"/>
                                  <w:szCs w:val="16"/>
                                </w:rPr>
                                <w:t>Támogathatóság vizsgálata</w:t>
                              </w:r>
                            </w:p>
                            <w:p w:rsidR="00657272" w:rsidRDefault="00657272"/>
                          </w:txbxContent>
                        </wps:txbx>
                        <wps:bodyPr rot="0" vert="horz" wrap="square" lIns="36000" tIns="36000" rIns="36000" bIns="36000" anchor="t" anchorCtr="0" upright="1">
                          <a:noAutofit/>
                        </wps:bodyPr>
                      </wps:wsp>
                      <wps:wsp>
                        <wps:cNvPr id="99" name="Text Box 140"/>
                        <wps:cNvSpPr txBox="1">
                          <a:spLocks noChangeArrowheads="1"/>
                        </wps:cNvSpPr>
                        <wps:spPr bwMode="auto">
                          <a:xfrm>
                            <a:off x="6092455" y="4493522"/>
                            <a:ext cx="1404796" cy="556529"/>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Többszempontú elemzés szempontjai alapján egy súlyozott pontszám</w:t>
                              </w:r>
                            </w:p>
                          </w:txbxContent>
                        </wps:txbx>
                        <wps:bodyPr rot="0" vert="horz" wrap="square" lIns="36000" tIns="36000" rIns="36000" bIns="36000" anchor="t" anchorCtr="0" upright="1">
                          <a:noAutofit/>
                        </wps:bodyPr>
                      </wps:wsp>
                      <wps:wsp>
                        <wps:cNvPr id="100" name="Text Box 141"/>
                        <wps:cNvSpPr txBox="1">
                          <a:spLocks noChangeArrowheads="1"/>
                        </wps:cNvSpPr>
                        <wps:spPr bwMode="auto">
                          <a:xfrm>
                            <a:off x="2463400" y="5209441"/>
                            <a:ext cx="1521862" cy="795049"/>
                          </a:xfrm>
                          <a:prstGeom prst="rect">
                            <a:avLst/>
                          </a:prstGeom>
                          <a:solidFill>
                            <a:srgbClr val="DDDDDD"/>
                          </a:solidFill>
                          <a:ln w="9525">
                            <a:solidFill>
                              <a:srgbClr val="000000"/>
                            </a:solidFill>
                            <a:prstDash val="dash"/>
                            <a:miter lim="800000"/>
                            <a:headEnd/>
                            <a:tailEnd/>
                          </a:ln>
                        </wps:spPr>
                        <wps:txbx>
                          <w:txbxContent>
                            <w:p w:rsidR="00657272" w:rsidRPr="00CE1295" w:rsidRDefault="00657272" w:rsidP="009B5E74">
                              <w:pPr>
                                <w:rPr>
                                  <w:sz w:val="16"/>
                                  <w:szCs w:val="16"/>
                                </w:rPr>
                              </w:pPr>
                              <w:r w:rsidRPr="00CE1295">
                                <w:rPr>
                                  <w:sz w:val="16"/>
                                  <w:szCs w:val="16"/>
                                </w:rPr>
                                <w:t>A költség-haszon elemzés eredményeinek szilárdságát/megbízhatóságát vizsgálja</w:t>
                              </w:r>
                            </w:p>
                          </w:txbxContent>
                        </wps:txbx>
                        <wps:bodyPr rot="0" vert="horz" wrap="square" lIns="36000" tIns="36000" rIns="36000" bIns="36000" anchor="t" anchorCtr="0" upright="1">
                          <a:noAutofit/>
                        </wps:bodyPr>
                      </wps:wsp>
                      <wps:wsp>
                        <wps:cNvPr id="101" name="Text Box 142"/>
                        <wps:cNvSpPr txBox="1">
                          <a:spLocks noChangeArrowheads="1"/>
                        </wps:cNvSpPr>
                        <wps:spPr bwMode="auto">
                          <a:xfrm>
                            <a:off x="4219395" y="5209441"/>
                            <a:ext cx="1675238" cy="795049"/>
                          </a:xfrm>
                          <a:prstGeom prst="rect">
                            <a:avLst/>
                          </a:prstGeom>
                          <a:solidFill>
                            <a:srgbClr val="DDDDDD"/>
                          </a:solidFill>
                          <a:ln w="9525">
                            <a:solidFill>
                              <a:srgbClr val="000000"/>
                            </a:solidFill>
                            <a:prstDash val="dash"/>
                            <a:miter lim="800000"/>
                            <a:headEnd/>
                            <a:tailEnd/>
                          </a:ln>
                        </wps:spPr>
                        <wps:txbx>
                          <w:txbxContent>
                            <w:p w:rsidR="00657272" w:rsidRPr="00CE1295" w:rsidRDefault="00657272" w:rsidP="009B5E74">
                              <w:pPr>
                                <w:rPr>
                                  <w:sz w:val="16"/>
                                  <w:szCs w:val="16"/>
                                </w:rPr>
                              </w:pPr>
                              <w:r w:rsidRPr="00CE1295">
                                <w:rPr>
                                  <w:sz w:val="16"/>
                                  <w:szCs w:val="16"/>
                                </w:rPr>
                                <w:t xml:space="preserve">A pénzügyi és társadalmi költség-haszon elemzéssel együttesen </w:t>
                              </w:r>
                            </w:p>
                          </w:txbxContent>
                        </wps:txbx>
                        <wps:bodyPr rot="0" vert="horz" wrap="square" lIns="36000" tIns="36000" rIns="36000" bIns="36000" anchor="t" anchorCtr="0" upright="1">
                          <a:noAutofit/>
                        </wps:bodyPr>
                      </wps:wsp>
                      <wps:wsp>
                        <wps:cNvPr id="102" name="Text Box 143"/>
                        <wps:cNvSpPr txBox="1">
                          <a:spLocks noChangeArrowheads="1"/>
                        </wps:cNvSpPr>
                        <wps:spPr bwMode="auto">
                          <a:xfrm>
                            <a:off x="6092455" y="5209441"/>
                            <a:ext cx="1404796" cy="795049"/>
                          </a:xfrm>
                          <a:prstGeom prst="rect">
                            <a:avLst/>
                          </a:prstGeom>
                          <a:solidFill>
                            <a:srgbClr val="DDDDDD"/>
                          </a:solidFill>
                          <a:ln w="9525">
                            <a:solidFill>
                              <a:srgbClr val="000000"/>
                            </a:solidFill>
                            <a:prstDash val="dash"/>
                            <a:miter lim="800000"/>
                            <a:headEnd/>
                            <a:tailEnd/>
                          </a:ln>
                        </wps:spPr>
                        <wps:txbx>
                          <w:txbxContent>
                            <w:p w:rsidR="00657272" w:rsidRPr="009E0823" w:rsidRDefault="00657272" w:rsidP="009E0823">
                              <w:pPr>
                                <w:spacing w:after="0"/>
                                <w:rPr>
                                  <w:sz w:val="16"/>
                                  <w:szCs w:val="16"/>
                                </w:rPr>
                              </w:pPr>
                              <w:r w:rsidRPr="009E0823">
                                <w:rPr>
                                  <w:sz w:val="16"/>
                                  <w:szCs w:val="16"/>
                                </w:rPr>
                                <w:t xml:space="preserve">Kritikus változók, </w:t>
                              </w:r>
                            </w:p>
                            <w:p w:rsidR="00657272" w:rsidRPr="009E0823" w:rsidRDefault="00657272" w:rsidP="009E0823">
                              <w:pPr>
                                <w:spacing w:after="0"/>
                                <w:rPr>
                                  <w:sz w:val="16"/>
                                  <w:szCs w:val="16"/>
                                </w:rPr>
                              </w:pPr>
                              <w:r w:rsidRPr="009E0823">
                                <w:rPr>
                                  <w:sz w:val="16"/>
                                  <w:szCs w:val="16"/>
                                </w:rPr>
                                <w:t>Küszöbértékek meghatározása</w:t>
                              </w:r>
                            </w:p>
                            <w:p w:rsidR="00657272" w:rsidRPr="009E0823" w:rsidRDefault="00657272" w:rsidP="009E0823">
                              <w:pPr>
                                <w:spacing w:after="0"/>
                                <w:rPr>
                                  <w:sz w:val="16"/>
                                  <w:szCs w:val="16"/>
                                </w:rPr>
                              </w:pPr>
                              <w:r w:rsidRPr="009E0823">
                                <w:rPr>
                                  <w:sz w:val="16"/>
                                  <w:szCs w:val="16"/>
                                </w:rPr>
                                <w:t>Kockázatok értékelése, kezelési stratégiák meghatározása</w:t>
                              </w:r>
                            </w:p>
                          </w:txbxContent>
                        </wps:txbx>
                        <wps:bodyPr rot="0" vert="horz" wrap="square" lIns="36000" tIns="36000" rIns="36000" bIns="36000" anchor="t" anchorCtr="0" upright="1">
                          <a:noAutofit/>
                        </wps:bodyPr>
                      </wps:wsp>
                      <wps:wsp>
                        <wps:cNvPr id="103" name="Text Box 144"/>
                        <wps:cNvSpPr txBox="1">
                          <a:spLocks noChangeArrowheads="1"/>
                        </wps:cNvSpPr>
                        <wps:spPr bwMode="auto">
                          <a:xfrm>
                            <a:off x="7614318" y="5209441"/>
                            <a:ext cx="1755995" cy="795049"/>
                          </a:xfrm>
                          <a:prstGeom prst="rect">
                            <a:avLst/>
                          </a:prstGeom>
                          <a:solidFill>
                            <a:srgbClr val="DDDDDD"/>
                          </a:solidFill>
                          <a:ln w="9525">
                            <a:solidFill>
                              <a:srgbClr val="000000"/>
                            </a:solidFill>
                            <a:prstDash val="dash"/>
                            <a:miter lim="800000"/>
                            <a:headEnd/>
                            <a:tailEnd/>
                          </a:ln>
                        </wps:spPr>
                        <wps:txbx>
                          <w:txbxContent>
                            <w:p w:rsidR="00657272" w:rsidRPr="009E0823" w:rsidRDefault="00657272" w:rsidP="009E0823">
                              <w:pPr>
                                <w:spacing w:after="0"/>
                                <w:rPr>
                                  <w:sz w:val="16"/>
                                  <w:szCs w:val="16"/>
                                </w:rPr>
                              </w:pPr>
                              <w:r w:rsidRPr="009E0823">
                                <w:rPr>
                                  <w:sz w:val="16"/>
                                  <w:szCs w:val="16"/>
                                </w:rPr>
                                <w:t>Előrejelzések kritikus pontjainak meghatározása,</w:t>
                              </w:r>
                            </w:p>
                            <w:p w:rsidR="00657272" w:rsidRPr="009E0823" w:rsidRDefault="00657272" w:rsidP="009E0823">
                              <w:pPr>
                                <w:spacing w:after="0"/>
                                <w:rPr>
                                  <w:sz w:val="16"/>
                                  <w:szCs w:val="16"/>
                                </w:rPr>
                              </w:pPr>
                              <w:r w:rsidRPr="009E0823">
                                <w:rPr>
                                  <w:sz w:val="16"/>
                                  <w:szCs w:val="16"/>
                                </w:rPr>
                                <w:t>A kockázat felmérése,</w:t>
                              </w:r>
                            </w:p>
                            <w:p w:rsidR="00657272" w:rsidRPr="009E0823" w:rsidRDefault="00657272" w:rsidP="009E0823">
                              <w:pPr>
                                <w:spacing w:after="0"/>
                                <w:rPr>
                                  <w:sz w:val="16"/>
                                  <w:szCs w:val="16"/>
                                </w:rPr>
                              </w:pPr>
                              <w:r w:rsidRPr="009E0823">
                                <w:rPr>
                                  <w:sz w:val="16"/>
                                  <w:szCs w:val="16"/>
                                </w:rPr>
                                <w:t>Műszaki tartalék indoklása</w:t>
                              </w:r>
                            </w:p>
                            <w:p w:rsidR="00657272" w:rsidRPr="009E0823" w:rsidRDefault="00657272" w:rsidP="009E0823">
                              <w:pPr>
                                <w:spacing w:after="0"/>
                                <w:rPr>
                                  <w:sz w:val="16"/>
                                  <w:szCs w:val="16"/>
                                </w:rPr>
                              </w:pPr>
                              <w:r w:rsidRPr="009E0823">
                                <w:rPr>
                                  <w:sz w:val="16"/>
                                  <w:szCs w:val="16"/>
                                </w:rPr>
                                <w:t>A változatok közötti választás megalapozása</w:t>
                              </w:r>
                            </w:p>
                          </w:txbxContent>
                        </wps:txbx>
                        <wps:bodyPr rot="0" vert="horz" wrap="square" lIns="36000" tIns="36000" rIns="36000" bIns="36000" anchor="t" anchorCtr="0" upright="1">
                          <a:noAutofit/>
                        </wps:bodyPr>
                      </wps:wsp>
                      <wps:wsp>
                        <wps:cNvPr id="104" name="Line 145"/>
                        <wps:cNvCnPr>
                          <a:cxnSpLocks noChangeShapeType="1"/>
                        </wps:cNvCnPr>
                        <wps:spPr bwMode="auto">
                          <a:xfrm>
                            <a:off x="122075" y="5129938"/>
                            <a:ext cx="9014730" cy="62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05" name="Text Box 146"/>
                        <wps:cNvSpPr txBox="1">
                          <a:spLocks noChangeArrowheads="1"/>
                        </wps:cNvSpPr>
                        <wps:spPr bwMode="auto">
                          <a:xfrm>
                            <a:off x="790400" y="618604"/>
                            <a:ext cx="1352210" cy="430940"/>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Költség-hatékonyság elemzés</w:t>
                              </w:r>
                            </w:p>
                          </w:txbxContent>
                        </wps:txbx>
                        <wps:bodyPr rot="0" vert="horz" wrap="square" lIns="36000" tIns="36000" rIns="36000" bIns="36000" anchor="t" anchorCtr="0" upright="1">
                          <a:noAutofit/>
                        </wps:bodyPr>
                      </wps:wsp>
                      <wps:wsp>
                        <wps:cNvPr id="106" name="Text Box 147"/>
                        <wps:cNvSpPr txBox="1">
                          <a:spLocks noChangeArrowheads="1"/>
                        </wps:cNvSpPr>
                        <wps:spPr bwMode="auto">
                          <a:xfrm>
                            <a:off x="2580467" y="2744761"/>
                            <a:ext cx="1352210" cy="520193"/>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Finanszírozás, fenntarthatóság vizsgálata</w:t>
                              </w:r>
                            </w:p>
                          </w:txbxContent>
                        </wps:txbx>
                        <wps:bodyPr rot="0" vert="horz" wrap="square" lIns="36000" tIns="36000" rIns="36000" bIns="36000" anchor="t" anchorCtr="0" upright="1">
                          <a:noAutofit/>
                        </wps:bodyPr>
                      </wps:wsp>
                      <wps:wsp>
                        <wps:cNvPr id="108" name="Text Box 148"/>
                        <wps:cNvSpPr txBox="1">
                          <a:spLocks noChangeArrowheads="1"/>
                        </wps:cNvSpPr>
                        <wps:spPr bwMode="auto">
                          <a:xfrm>
                            <a:off x="6092455" y="3062809"/>
                            <a:ext cx="1407300" cy="556534"/>
                          </a:xfrm>
                          <a:prstGeom prst="rect">
                            <a:avLst/>
                          </a:prstGeom>
                          <a:solidFill>
                            <a:srgbClr val="FFFFFF"/>
                          </a:solidFill>
                          <a:ln w="9525">
                            <a:solidFill>
                              <a:srgbClr val="000000"/>
                            </a:solidFill>
                            <a:miter lim="800000"/>
                            <a:headEnd/>
                            <a:tailEnd/>
                          </a:ln>
                        </wps:spPr>
                        <wps:txbx>
                          <w:txbxContent>
                            <w:p w:rsidR="00657272" w:rsidRPr="00CE1295" w:rsidRDefault="00657272" w:rsidP="009B5E74">
                              <w:pPr>
                                <w:rPr>
                                  <w:sz w:val="16"/>
                                  <w:szCs w:val="16"/>
                                </w:rPr>
                              </w:pPr>
                              <w:r w:rsidRPr="00CE1295">
                                <w:rPr>
                                  <w:sz w:val="16"/>
                                  <w:szCs w:val="16"/>
                                </w:rPr>
                                <w:t>Pénzáram tábla (cash flow)</w:t>
                              </w:r>
                            </w:p>
                          </w:txbxContent>
                        </wps:txbx>
                        <wps:bodyPr rot="0" vert="horz" wrap="square" lIns="36000" tIns="36000" rIns="36000" bIns="36000" anchor="t" anchorCtr="0" upright="1">
                          <a:noAutofit/>
                        </wps:bodyPr>
                      </wps:wsp>
                    </wpc:wpc>
                  </a:graphicData>
                </a:graphic>
              </wp:inline>
            </w:drawing>
          </mc:Choice>
          <mc:Fallback>
            <w:pict>
              <v:group w14:anchorId="74970E38" id="Vászon 110" o:spid="_x0000_s1026" editas="canvas" style="width:740.15pt;height:473.1pt;mso-position-horizontal-relative:char;mso-position-vertical-relative:line" coordsize="93999,6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">
                <v:shape id="_x0000_s1027" type="#_x0000_t75" style="position:absolute;width:93999;height:60077;visibility:visible;mso-wrap-style:square" stroked="t">
                  <v:fill o:detectmouseclick="t"/>
                  <v:stroke dashstyle="1 1" endcap="round"/>
                  <v:path o:connecttype="none"/>
                </v:shape>
                <v:shapetype id="_x0000_t202" coordsize="21600,21600" o:spt="202" path="m,l,21600r21600,l21600,xe">
                  <v:stroke joinstyle="miter"/>
                  <v:path gradientshapeok="t" o:connecttype="rect"/>
                </v:shapetype>
                <v:shape id="Text Box 109" o:spid="_x0000_s1028" type="#_x0000_t202" style="position:absolute;left:42193;top:545;width:16840;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" fillcolor="#767676">
                  <v:fill rotate="t" focus="50%" type="gradient"/>
                  <v:textbox inset="1mm,1mm,1mm,1mm">
                    <w:txbxContent>
                      <w:p w:rsidR="00657272" w:rsidRPr="00CE1295" w:rsidRDefault="00657272" w:rsidP="009B5E74">
                        <w:pPr>
                          <w:rPr>
                            <w:sz w:val="16"/>
                            <w:szCs w:val="16"/>
                          </w:rPr>
                        </w:pPr>
                        <w:r w:rsidRPr="00CE1295">
                          <w:rPr>
                            <w:sz w:val="16"/>
                            <w:szCs w:val="16"/>
                          </w:rPr>
                          <w:t>Helye</w:t>
                        </w:r>
                      </w:p>
                    </w:txbxContent>
                  </v:textbox>
                </v:shape>
                <v:shape id="Text Box 110" o:spid="_x0000_s1029" type="#_x0000_t202" style="position:absolute;left:60846;top:545;width:14048;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" fillcolor="#767676">
                  <v:fill rotate="t" focus="50%" type="gradient"/>
                  <v:textbox inset="1mm,1mm,1mm,1mm">
                    <w:txbxContent>
                      <w:p w:rsidR="00657272" w:rsidRPr="00CE1295" w:rsidRDefault="00657272" w:rsidP="009B5E74">
                        <w:pPr>
                          <w:rPr>
                            <w:sz w:val="16"/>
                            <w:szCs w:val="16"/>
                          </w:rPr>
                        </w:pPr>
                        <w:r w:rsidRPr="00CE1295">
                          <w:rPr>
                            <w:sz w:val="16"/>
                            <w:szCs w:val="16"/>
                          </w:rPr>
                          <w:t>Output</w:t>
                        </w:r>
                      </w:p>
                    </w:txbxContent>
                  </v:textbox>
                </v:shape>
                <v:shape id="Text Box 111" o:spid="_x0000_s1030" type="#_x0000_t202" style="position:absolute;left:76335;top:545;width:17027;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" fillcolor="#767676">
                  <v:fill rotate="t" focus="50%" type="gradient"/>
                  <v:textbox inset="1mm,1mm,1mm,1mm">
                    <w:txbxContent>
                      <w:p w:rsidR="00657272" w:rsidRPr="00CE1295" w:rsidRDefault="00657272" w:rsidP="009B5E74">
                        <w:pPr>
                          <w:rPr>
                            <w:sz w:val="16"/>
                            <w:szCs w:val="16"/>
                          </w:rPr>
                        </w:pPr>
                        <w:r w:rsidRPr="00CE1295">
                          <w:rPr>
                            <w:sz w:val="16"/>
                            <w:szCs w:val="16"/>
                          </w:rPr>
                          <w:t>Következtetés</w:t>
                        </w:r>
                      </w:p>
                    </w:txbxContent>
                  </v:textbox>
                </v:shape>
                <v:shape id="Text Box 112" o:spid="_x0000_s1031" type="#_x0000_t202" style="position:absolute;left:25804;top:545;width:13522;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" fillcolor="#767676">
                  <v:fill rotate="t" focus="50%" type="gradient"/>
                  <v:textbox inset="1mm,1mm,1mm,1mm">
                    <w:txbxContent>
                      <w:p w:rsidR="00657272" w:rsidRPr="00CE1295" w:rsidRDefault="00657272" w:rsidP="009B5E74">
                        <w:pPr>
                          <w:rPr>
                            <w:sz w:val="16"/>
                            <w:szCs w:val="16"/>
                          </w:rPr>
                        </w:pPr>
                        <w:r w:rsidRPr="00CE1295">
                          <w:rPr>
                            <w:sz w:val="16"/>
                            <w:szCs w:val="16"/>
                          </w:rPr>
                          <w:t>Célja</w:t>
                        </w:r>
                      </w:p>
                    </w:txbxContent>
                  </v:textbox>
                </v:shape>
                <v:shape id="Text Box 113" o:spid="_x0000_s1032" type="#_x0000_t202" style="position:absolute;left:60849;top:16187;width:14123;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">
                  <v:textbox inset="1mm,1mm,1mm,1mm">
                    <w:txbxContent>
                      <w:p w:rsidR="00657272" w:rsidRPr="00CE1295" w:rsidRDefault="00657272" w:rsidP="009B5E74">
                        <w:pPr>
                          <w:rPr>
                            <w:sz w:val="16"/>
                            <w:szCs w:val="16"/>
                          </w:rPr>
                        </w:pPr>
                        <w:r w:rsidRPr="00CE1295">
                          <w:rPr>
                            <w:sz w:val="16"/>
                            <w:szCs w:val="16"/>
                          </w:rPr>
                          <w:t xml:space="preserve">Közgazdasági </w:t>
                        </w:r>
                        <w:r>
                          <w:rPr>
                            <w:sz w:val="16"/>
                            <w:szCs w:val="16"/>
                          </w:rPr>
                          <w:t>t</w:t>
                        </w:r>
                        <w:r w:rsidRPr="00CE1295">
                          <w:rPr>
                            <w:sz w:val="16"/>
                            <w:szCs w:val="16"/>
                          </w:rPr>
                          <w:t xml:space="preserve">eljesítmény mutatók: </w:t>
                        </w:r>
                        <w:r>
                          <w:rPr>
                            <w:sz w:val="16"/>
                            <w:szCs w:val="16"/>
                          </w:rPr>
                          <w:t>E</w:t>
                        </w:r>
                        <w:r w:rsidRPr="00CE1295">
                          <w:rPr>
                            <w:sz w:val="16"/>
                            <w:szCs w:val="16"/>
                          </w:rPr>
                          <w:t>NPV, ERR, BCR</w:t>
                        </w:r>
                      </w:p>
                    </w:txbxContent>
                  </v:textbox>
                </v:shape>
                <v:shape id="Text Box 114" o:spid="_x0000_s1033" type="#_x0000_t202" style="position:absolute;left:76143;top:4948;width:17560;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">
                  <v:textbox inset="1mm,1mm,1mm,1mm">
                    <w:txbxContent>
                      <w:p w:rsidR="00657272" w:rsidRPr="00CE1295" w:rsidRDefault="00657272" w:rsidP="009B5E74">
                        <w:pPr>
                          <w:rPr>
                            <w:sz w:val="16"/>
                            <w:szCs w:val="16"/>
                          </w:rPr>
                        </w:pPr>
                      </w:p>
                      <w:p w:rsidR="00657272" w:rsidRPr="00CE1295" w:rsidRDefault="00657272" w:rsidP="009B5E74">
                        <w:pPr>
                          <w:rPr>
                            <w:sz w:val="16"/>
                            <w:szCs w:val="16"/>
                          </w:rPr>
                        </w:pPr>
                        <w:r w:rsidRPr="00CE1295">
                          <w:rPr>
                            <w:sz w:val="16"/>
                            <w:szCs w:val="16"/>
                          </w:rPr>
                          <w:t>A legmegfelelőbb, hatékony műszaki megoldás kiválasztása, ami a további kidolgozás alapját képezi</w:t>
                        </w:r>
                      </w:p>
                    </w:txbxContent>
                  </v:textbox>
                </v:shape>
                <v:shape id="Text Box 115" o:spid="_x0000_s1034" type="#_x0000_t202" style="position:absolute;left:42193;top:4948;width:16840;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">
                  <v:textbox inset="1mm,1mm,1mm,1mm">
                    <w:txbxContent>
                      <w:p w:rsidR="00657272" w:rsidRPr="00CE1295" w:rsidRDefault="00657272" w:rsidP="009B5E74">
                        <w:pPr>
                          <w:rPr>
                            <w:sz w:val="16"/>
                            <w:szCs w:val="16"/>
                          </w:rPr>
                        </w:pPr>
                        <w:r>
                          <w:rPr>
                            <w:sz w:val="16"/>
                            <w:szCs w:val="16"/>
                          </w:rPr>
                          <w:t xml:space="preserve">Megvalósíthatósági tanulmány részeként: </w:t>
                        </w:r>
                      </w:p>
                      <w:p w:rsidR="00657272" w:rsidRPr="00CE1295" w:rsidRDefault="00657272" w:rsidP="00C3482E">
                        <w:pPr>
                          <w:ind w:left="170"/>
                          <w:rPr>
                            <w:sz w:val="16"/>
                            <w:szCs w:val="16"/>
                          </w:rPr>
                        </w:pPr>
                        <w:r>
                          <w:rPr>
                            <w:sz w:val="16"/>
                            <w:szCs w:val="16"/>
                          </w:rPr>
                          <w:t>a</w:t>
                        </w:r>
                        <w:r w:rsidRPr="00CE1295">
                          <w:rPr>
                            <w:sz w:val="16"/>
                            <w:szCs w:val="16"/>
                          </w:rPr>
                          <w:t xml:space="preserve"> tanulmánytervek és műszaki költségbecslések alapján a részletes műszaki tervezés és engedélyezések előtt </w:t>
                        </w:r>
                      </w:p>
                    </w:txbxContent>
                  </v:textbox>
                </v:shape>
                <v:shape id="Text Box 116" o:spid="_x0000_s1035" type="#_x0000_t202" style="position:absolute;left:25804;top:4949;width:13522;height:14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">
                  <v:textbox inset="1mm,1mm,1mm,1mm">
                    <w:txbxContent>
                      <w:p w:rsidR="00657272" w:rsidRPr="00CE1295" w:rsidRDefault="00657272" w:rsidP="009B5E74">
                        <w:pPr>
                          <w:rPr>
                            <w:sz w:val="16"/>
                            <w:szCs w:val="16"/>
                          </w:rPr>
                        </w:pPr>
                      </w:p>
                      <w:p w:rsidR="00657272" w:rsidRPr="00CE1295" w:rsidRDefault="00657272" w:rsidP="009644DF">
                        <w:pPr>
                          <w:jc w:val="left"/>
                          <w:rPr>
                            <w:sz w:val="16"/>
                            <w:szCs w:val="16"/>
                          </w:rPr>
                        </w:pPr>
                        <w:r w:rsidRPr="00CE1295">
                          <w:rPr>
                            <w:sz w:val="16"/>
                            <w:szCs w:val="16"/>
                          </w:rPr>
                          <w:t>A műszakilag megvalósítható és jogilag megfelelő projekt változatok közötti választás</w:t>
                        </w:r>
                      </w:p>
                    </w:txbxContent>
                  </v:textbox>
                </v:shape>
                <v:shape id="Text Box 117" o:spid="_x0000_s1036" type="#_x0000_t202" style="position:absolute;left:25804;top:22677;width:13522;height:4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">
                  <v:textbox inset="1mm,1mm,1mm,1mm">
                    <w:txbxContent>
                      <w:p w:rsidR="00657272" w:rsidRPr="00CE1295" w:rsidRDefault="00657272" w:rsidP="009B5E74">
                        <w:pPr>
                          <w:rPr>
                            <w:sz w:val="16"/>
                            <w:szCs w:val="16"/>
                          </w:rPr>
                        </w:pPr>
                        <w:r w:rsidRPr="00CE1295">
                          <w:rPr>
                            <w:sz w:val="16"/>
                            <w:szCs w:val="16"/>
                          </w:rPr>
                          <w:t>Pénzügyi megtérülés, vizsgálata</w:t>
                        </w:r>
                      </w:p>
                    </w:txbxContent>
                  </v:textbox>
                </v:shape>
                <v:shape id="Text Box 118" o:spid="_x0000_s1037" type="#_x0000_t202" style="position:absolute;left:42193;top:24267;width:16840;height:8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">
                  <v:textbox inset="1mm,1mm,1mm,1mm">
                    <w:txbxContent>
                      <w:p w:rsidR="00657272" w:rsidRPr="00CE1295" w:rsidRDefault="00657272" w:rsidP="009B5E74">
                        <w:pPr>
                          <w:rPr>
                            <w:sz w:val="16"/>
                            <w:szCs w:val="16"/>
                          </w:rPr>
                        </w:pPr>
                        <w:r w:rsidRPr="009E0823">
                          <w:rPr>
                            <w:sz w:val="16"/>
                            <w:szCs w:val="16"/>
                          </w:rPr>
                          <w:t>A kiválasztott változatra részletesen a műszaki költségbecslések és piaci elemzések, jogszabályi /szerződéses előírások alapján</w:t>
                        </w:r>
                      </w:p>
                    </w:txbxContent>
                  </v:textbox>
                </v:shape>
                <v:shape id="Text Box 119" o:spid="_x0000_s1038" type="#_x0000_t202" style="position:absolute;left:60924;top:22677;width:14073;height:7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">
                  <v:textbox inset="1mm,1mm,1mm,1mm">
                    <w:txbxContent>
                      <w:p w:rsidR="00657272" w:rsidRPr="00CE1295" w:rsidRDefault="00657272" w:rsidP="009B5E74">
                        <w:pPr>
                          <w:rPr>
                            <w:sz w:val="16"/>
                            <w:szCs w:val="16"/>
                          </w:rPr>
                        </w:pPr>
                        <w:r w:rsidRPr="00CE1295">
                          <w:rPr>
                            <w:sz w:val="16"/>
                            <w:szCs w:val="16"/>
                          </w:rPr>
                          <w:t xml:space="preserve">Pénzügyi teljesítmény mutatók </w:t>
                        </w:r>
                      </w:p>
                      <w:p w:rsidR="00657272" w:rsidRPr="00CE1295" w:rsidRDefault="00657272" w:rsidP="009B5E74">
                        <w:pPr>
                          <w:rPr>
                            <w:sz w:val="16"/>
                            <w:szCs w:val="16"/>
                          </w:rPr>
                        </w:pPr>
                        <w:r>
                          <w:rPr>
                            <w:sz w:val="16"/>
                            <w:szCs w:val="16"/>
                          </w:rPr>
                          <w:t>E</w:t>
                        </w:r>
                        <w:r w:rsidRPr="00CE1295">
                          <w:rPr>
                            <w:sz w:val="16"/>
                            <w:szCs w:val="16"/>
                          </w:rPr>
                          <w:t>NPV, FRR, BCR</w:t>
                        </w:r>
                      </w:p>
                    </w:txbxContent>
                  </v:textbox>
                </v:shape>
                <v:shape id="Text Box 120" o:spid="_x0000_s1039" type="#_x0000_t202" style="position:absolute;left:76143;top:22677;width:17560;height:13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">
                  <v:textbox inset="1mm,1mm,1mm,1mm">
                    <w:txbxContent>
                      <w:p w:rsidR="00657272" w:rsidRPr="009E0823" w:rsidRDefault="00657272" w:rsidP="009E0823">
                        <w:pPr>
                          <w:spacing w:after="0"/>
                          <w:rPr>
                            <w:sz w:val="16"/>
                            <w:szCs w:val="16"/>
                          </w:rPr>
                        </w:pPr>
                        <w:r w:rsidRPr="009E0823">
                          <w:rPr>
                            <w:sz w:val="16"/>
                            <w:szCs w:val="16"/>
                          </w:rPr>
                          <w:t xml:space="preserve">A tételes beruházási költség meghatározása </w:t>
                        </w:r>
                      </w:p>
                      <w:p w:rsidR="00657272" w:rsidRPr="009E0823" w:rsidRDefault="00657272" w:rsidP="009E0823">
                        <w:pPr>
                          <w:spacing w:after="0"/>
                          <w:rPr>
                            <w:sz w:val="16"/>
                            <w:szCs w:val="16"/>
                          </w:rPr>
                        </w:pPr>
                        <w:r w:rsidRPr="009E0823">
                          <w:rPr>
                            <w:sz w:val="16"/>
                            <w:szCs w:val="16"/>
                          </w:rPr>
                          <w:t>EU támogatási összeg, saját forrás igény és az egyéb támogatás összegének meghatározása</w:t>
                        </w:r>
                      </w:p>
                      <w:p w:rsidR="00657272" w:rsidRPr="009E0823" w:rsidRDefault="00657272" w:rsidP="009E0823">
                        <w:pPr>
                          <w:spacing w:after="0"/>
                          <w:rPr>
                            <w:sz w:val="16"/>
                            <w:szCs w:val="16"/>
                          </w:rPr>
                        </w:pPr>
                        <w:r w:rsidRPr="009E0823">
                          <w:rPr>
                            <w:sz w:val="16"/>
                            <w:szCs w:val="16"/>
                          </w:rPr>
                          <w:t xml:space="preserve">pénzügyi fenntarthatóság </w:t>
                        </w:r>
                      </w:p>
                    </w:txbxContent>
                  </v:textbox>
                </v:shape>
                <v:line id="Line 121" o:spid="_x0000_s1040" style="position:absolute;visibility:visible;mso-wrap-style:square" from="1220,21882" to="90241,2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">
                  <v:stroke dashstyle="dashDot"/>
                </v:line>
                <v:line id="Line 122" o:spid="_x0000_s1041" style="position:absolute;visibility:visible;mso-wrap-style:square" from="50,36988" to="90197,3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">
                  <v:stroke dashstyle="dashDot"/>
                </v:line>
                <v:shape id="Text Box 123" o:spid="_x0000_s1042" type="#_x0000_t202" style="position:absolute;left:1220;top:37783;width:21072;height:1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" fillcolor="#767676" strokeweight="1.5pt">
                  <v:fill rotate="t" angle="90" focus="50%" type="gradient"/>
                  <v:textbox inset="1mm,1mm,1mm,1mm">
                    <w:txbxContent>
                      <w:p w:rsidR="00657272" w:rsidRPr="00CE1295" w:rsidRDefault="00657272" w:rsidP="009B5E74">
                        <w:pPr>
                          <w:rPr>
                            <w:sz w:val="16"/>
                            <w:szCs w:val="16"/>
                          </w:rPr>
                        </w:pPr>
                        <w:r w:rsidRPr="00CE1295">
                          <w:rPr>
                            <w:sz w:val="16"/>
                            <w:szCs w:val="16"/>
                          </w:rPr>
                          <w:t xml:space="preserve">Társadalmi </w:t>
                        </w:r>
                      </w:p>
                      <w:p w:rsidR="00657272" w:rsidRPr="00CE1295" w:rsidRDefault="00657272" w:rsidP="009B5E74">
                        <w:pPr>
                          <w:rPr>
                            <w:sz w:val="16"/>
                            <w:szCs w:val="16"/>
                          </w:rPr>
                        </w:pPr>
                        <w:r w:rsidRPr="00CE1295">
                          <w:rPr>
                            <w:sz w:val="16"/>
                            <w:szCs w:val="16"/>
                          </w:rPr>
                          <w:t>költségek és</w:t>
                        </w:r>
                      </w:p>
                      <w:p w:rsidR="00657272" w:rsidRPr="00CE1295" w:rsidRDefault="00657272" w:rsidP="009B5E74">
                        <w:pPr>
                          <w:rPr>
                            <w:sz w:val="16"/>
                            <w:szCs w:val="16"/>
                          </w:rPr>
                        </w:pPr>
                        <w:r w:rsidRPr="00CE1295">
                          <w:rPr>
                            <w:sz w:val="16"/>
                            <w:szCs w:val="16"/>
                          </w:rPr>
                          <w:t xml:space="preserve">hasznok </w:t>
                        </w:r>
                      </w:p>
                      <w:p w:rsidR="00657272" w:rsidRPr="00CE1295" w:rsidRDefault="00657272" w:rsidP="009B5E74">
                        <w:pPr>
                          <w:rPr>
                            <w:sz w:val="16"/>
                            <w:szCs w:val="16"/>
                          </w:rPr>
                        </w:pPr>
                        <w:r w:rsidRPr="00CE1295">
                          <w:rPr>
                            <w:sz w:val="16"/>
                            <w:szCs w:val="16"/>
                          </w:rPr>
                          <w:t>elemzése</w:t>
                        </w:r>
                      </w:p>
                    </w:txbxContent>
                  </v:textbox>
                </v:shape>
                <v:shape id="Text Box 124" o:spid="_x0000_s1043" type="#_x0000_t202" style="position:absolute;left:42193;top:39373;width:16753;height:1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">
                  <v:textbox inset="1mm,1mm,1mm,1mm">
                    <w:txbxContent>
                      <w:p w:rsidR="00657272" w:rsidRPr="00CE1295" w:rsidRDefault="00657272" w:rsidP="009B5E74">
                        <w:pPr>
                          <w:rPr>
                            <w:sz w:val="16"/>
                            <w:szCs w:val="16"/>
                          </w:rPr>
                        </w:pPr>
                        <w:r w:rsidRPr="00CE1295">
                          <w:rPr>
                            <w:sz w:val="16"/>
                            <w:szCs w:val="16"/>
                          </w:rPr>
                          <w:t>Kiválasztott változatra a részletes tervek, tanulmányok, műszaki költségbecslések, környezeti hatás és kereslet elemzés alapján</w:t>
                        </w:r>
                      </w:p>
                    </w:txbxContent>
                  </v:textbox>
                </v:shape>
                <v:shape id="Text Box 125" o:spid="_x0000_s1044" type="#_x0000_t202" style="position:absolute;left:25804;top:42553;width:13522;height:7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">
                  <v:textbox inset="1mm,1mm,1mm,1mm">
                    <w:txbxContent>
                      <w:p w:rsidR="00657272" w:rsidRPr="00CE1295" w:rsidRDefault="00657272" w:rsidP="009B5E74">
                        <w:pPr>
                          <w:rPr>
                            <w:sz w:val="16"/>
                            <w:szCs w:val="16"/>
                          </w:rPr>
                        </w:pPr>
                        <w:r w:rsidRPr="00CE1295">
                          <w:rPr>
                            <w:sz w:val="16"/>
                            <w:szCs w:val="16"/>
                          </w:rPr>
                          <w:t>A kiválasztott változat társadalmi hasznosságát vizsgálja</w:t>
                        </w:r>
                      </w:p>
                    </w:txbxContent>
                  </v:textbox>
                </v:shape>
                <v:shape id="Text Box 126" o:spid="_x0000_s1045" type="#_x0000_t202" style="position:absolute;left:60924;top:37780;width:14073;height: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">
                  <v:textbox inset="1mm,1mm,1mm,1mm">
                    <w:txbxContent>
                      <w:p w:rsidR="00657272" w:rsidRPr="00CE1295" w:rsidRDefault="00657272" w:rsidP="009B5E74">
                        <w:pPr>
                          <w:rPr>
                            <w:sz w:val="16"/>
                            <w:szCs w:val="16"/>
                          </w:rPr>
                        </w:pPr>
                        <w:r w:rsidRPr="00CE1295">
                          <w:rPr>
                            <w:sz w:val="16"/>
                            <w:szCs w:val="16"/>
                          </w:rPr>
                          <w:t>Közgazdasági  teljesítmény mutatók:</w:t>
                        </w:r>
                      </w:p>
                      <w:p w:rsidR="00657272" w:rsidRPr="00CE1295" w:rsidRDefault="00657272" w:rsidP="009B5E74">
                        <w:pPr>
                          <w:rPr>
                            <w:sz w:val="16"/>
                            <w:szCs w:val="16"/>
                          </w:rPr>
                        </w:pPr>
                        <w:r>
                          <w:rPr>
                            <w:sz w:val="16"/>
                            <w:szCs w:val="16"/>
                          </w:rPr>
                          <w:t>E</w:t>
                        </w:r>
                        <w:r w:rsidRPr="00CE1295">
                          <w:rPr>
                            <w:sz w:val="16"/>
                            <w:szCs w:val="16"/>
                          </w:rPr>
                          <w:t>NPV, ERR, BCR</w:t>
                        </w:r>
                      </w:p>
                    </w:txbxContent>
                  </v:textbox>
                </v:shape>
                <v:shape id="Text Box 127" o:spid="_x0000_s1046" type="#_x0000_t202" style="position:absolute;left:76143;top:37783;width:17560;height:1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">
                  <v:textbox inset="1mm,1mm,1mm,1mm">
                    <w:txbxContent>
                      <w:p w:rsidR="00657272" w:rsidRPr="009E0823" w:rsidRDefault="00657272" w:rsidP="009E0823">
                        <w:pPr>
                          <w:spacing w:after="0"/>
                          <w:rPr>
                            <w:sz w:val="16"/>
                            <w:szCs w:val="16"/>
                          </w:rPr>
                        </w:pPr>
                        <w:r w:rsidRPr="009E0823">
                          <w:rPr>
                            <w:sz w:val="16"/>
                            <w:szCs w:val="16"/>
                          </w:rPr>
                          <w:t>A projekt támogatás jogosságának alátámasztása</w:t>
                        </w:r>
                      </w:p>
                      <w:p w:rsidR="00657272" w:rsidRPr="009E0823" w:rsidRDefault="00657272" w:rsidP="009E0823">
                        <w:pPr>
                          <w:spacing w:after="0"/>
                          <w:rPr>
                            <w:sz w:val="16"/>
                            <w:szCs w:val="16"/>
                          </w:rPr>
                        </w:pPr>
                        <w:r w:rsidRPr="009E0823">
                          <w:rPr>
                            <w:sz w:val="16"/>
                            <w:szCs w:val="16"/>
                          </w:rPr>
                          <w:t>A számított mutatók alapján lehetséges a más projektekkel történő összehasonlítás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8" o:spid="_x0000_s1047" type="#_x0000_t67" style="position:absolute;left:45705;top:20924;width:9015;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">
                  <v:textbox inset="1mm,1mm,1mm,1mm"/>
                </v:shape>
                <v:shape id="Text Box 129" o:spid="_x0000_s1048" type="#_x0000_t202" style="position:absolute;left:1220;top:5326;width:21116;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" fillcolor="#767676" strokeweight="1.5pt">
                  <v:fill rotate="t" angle="90" focus="50%" type="gradient"/>
                  <v:textbox inset="1mm,1mm,1mm,1mm">
                    <w:txbxContent>
                      <w:p w:rsidR="00657272" w:rsidRPr="00CE1295" w:rsidRDefault="00657272" w:rsidP="009B5E74">
                        <w:pPr>
                          <w:rPr>
                            <w:sz w:val="16"/>
                            <w:szCs w:val="16"/>
                          </w:rPr>
                        </w:pPr>
                        <w:r w:rsidRPr="00CE1295">
                          <w:rPr>
                            <w:sz w:val="16"/>
                            <w:szCs w:val="16"/>
                          </w:rPr>
                          <w:t>Változat-</w:t>
                        </w:r>
                      </w:p>
                      <w:p w:rsidR="00657272" w:rsidRPr="00CE1295" w:rsidRDefault="00657272" w:rsidP="009B5E74">
                        <w:pPr>
                          <w:rPr>
                            <w:sz w:val="16"/>
                            <w:szCs w:val="16"/>
                          </w:rPr>
                        </w:pPr>
                        <w:r w:rsidRPr="00CE1295">
                          <w:rPr>
                            <w:sz w:val="16"/>
                            <w:szCs w:val="16"/>
                          </w:rPr>
                          <w:t>elemzés</w:t>
                        </w:r>
                      </w:p>
                    </w:txbxContent>
                  </v:textbox>
                </v:shape>
                <v:shape id="Text Box 130" o:spid="_x0000_s1049" type="#_x0000_t202" style="position:absolute;left:60774;top:5235;width:14223;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">
                  <v:textbox inset="1mm,1mm,1mm,1mm">
                    <w:txbxContent>
                      <w:p w:rsidR="00657272" w:rsidRPr="00CE1295" w:rsidRDefault="00657272" w:rsidP="009B5E74">
                        <w:pPr>
                          <w:rPr>
                            <w:sz w:val="16"/>
                            <w:szCs w:val="16"/>
                          </w:rPr>
                        </w:pPr>
                        <w:r w:rsidRPr="00CE1295">
                          <w:rPr>
                            <w:sz w:val="16"/>
                            <w:szCs w:val="16"/>
                          </w:rPr>
                          <w:t>Költség-hatékonyság elemzés esetén: legkisebb költségű változat vagy legjobb mutató</w:t>
                        </w:r>
                      </w:p>
                    </w:txbxContent>
                  </v:textbox>
                </v:shape>
                <v:shape id="Text Box 131" o:spid="_x0000_s1050" type="#_x0000_t202" style="position:absolute;left:7904;top:11150;width:13522;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">
                  <v:textbox inset="1mm,1mm,1mm,1mm">
                    <w:txbxContent>
                      <w:p w:rsidR="00657272" w:rsidRPr="00CE1295" w:rsidRDefault="00657272" w:rsidP="009B5E74">
                        <w:pPr>
                          <w:rPr>
                            <w:sz w:val="16"/>
                            <w:szCs w:val="16"/>
                          </w:rPr>
                        </w:pPr>
                        <w:r w:rsidRPr="00CE1295">
                          <w:rPr>
                            <w:sz w:val="16"/>
                            <w:szCs w:val="16"/>
                          </w:rPr>
                          <w:t>Többszempontú értékelés</w:t>
                        </w:r>
                      </w:p>
                    </w:txbxContent>
                  </v:textbox>
                </v:shape>
                <v:shape id="AutoShape 132" o:spid="_x0000_s1051" type="#_x0000_t67" style="position:absolute;left:45705;top:34603;width:9015;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">
                  <v:textbox inset="1mm,1mm,1mm,1mm"/>
                </v:shape>
                <v:shape id="Text Box 133" o:spid="_x0000_s1052" type="#_x0000_t202" style="position:absolute;left:1220;top:52094;width:21072;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" fillcolor="#ddd">
                  <v:stroke dashstyle="longDash"/>
                  <v:textbox inset="1mm,1mm,1mm,1mm">
                    <w:txbxContent>
                      <w:p w:rsidR="00657272" w:rsidRPr="00CE1295" w:rsidRDefault="00657272" w:rsidP="009B5E74">
                        <w:pPr>
                          <w:rPr>
                            <w:sz w:val="16"/>
                            <w:szCs w:val="16"/>
                          </w:rPr>
                        </w:pPr>
                        <w:r w:rsidRPr="00CE1295">
                          <w:rPr>
                            <w:sz w:val="16"/>
                            <w:szCs w:val="16"/>
                          </w:rPr>
                          <w:t xml:space="preserve">Érzékenység-, </w:t>
                        </w:r>
                      </w:p>
                      <w:p w:rsidR="00657272" w:rsidRPr="00CE1295" w:rsidRDefault="00657272" w:rsidP="009B5E74">
                        <w:pPr>
                          <w:rPr>
                            <w:sz w:val="16"/>
                            <w:szCs w:val="16"/>
                          </w:rPr>
                        </w:pPr>
                        <w:r w:rsidRPr="00CE1295">
                          <w:rPr>
                            <w:sz w:val="16"/>
                            <w:szCs w:val="16"/>
                          </w:rPr>
                          <w:t>szcenárió-, és kockázat</w:t>
                        </w:r>
                      </w:p>
                      <w:p w:rsidR="00657272" w:rsidRPr="00CE1295" w:rsidRDefault="00657272" w:rsidP="009B5E74">
                        <w:pPr>
                          <w:rPr>
                            <w:sz w:val="16"/>
                            <w:szCs w:val="16"/>
                          </w:rPr>
                        </w:pPr>
                        <w:r w:rsidRPr="00CE1295">
                          <w:rPr>
                            <w:sz w:val="16"/>
                            <w:szCs w:val="16"/>
                          </w:rPr>
                          <w:t>elemzés</w:t>
                        </w:r>
                      </w:p>
                    </w:txbxContent>
                  </v:textbox>
                </v:shape>
                <v:shape id="Text Box 134" o:spid="_x0000_s1053" type="#_x0000_t202" style="position:absolute;left:7904;top:15340;width:13522;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">
                  <v:textbox inset="1mm,1mm,1mm,1mm">
                    <w:txbxContent>
                      <w:p w:rsidR="00657272" w:rsidRPr="00CE1295" w:rsidRDefault="00657272" w:rsidP="009B5E74">
                        <w:pPr>
                          <w:rPr>
                            <w:sz w:val="16"/>
                            <w:szCs w:val="16"/>
                          </w:rPr>
                        </w:pPr>
                        <w:r w:rsidRPr="00CE1295">
                          <w:rPr>
                            <w:sz w:val="16"/>
                            <w:szCs w:val="16"/>
                          </w:rPr>
                          <w:t>Közgazdasági költség-haszon elemzés</w:t>
                        </w:r>
                      </w:p>
                    </w:txbxContent>
                  </v:textbox>
                </v:shape>
                <v:shape id="Text Box 135" o:spid="_x0000_s1054" type="#_x0000_t202" style="position:absolute;left:60846;top:11038;width:14151;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">
                  <v:textbox inset="1mm,1mm,1mm,1mm">
                    <w:txbxContent>
                      <w:p w:rsidR="00657272" w:rsidRPr="00CE1295" w:rsidRDefault="00657272" w:rsidP="009B5E74">
                        <w:pPr>
                          <w:rPr>
                            <w:sz w:val="16"/>
                            <w:szCs w:val="16"/>
                          </w:rPr>
                        </w:pPr>
                        <w:r w:rsidRPr="00CE1295">
                          <w:rPr>
                            <w:sz w:val="16"/>
                            <w:szCs w:val="16"/>
                          </w:rPr>
                          <w:t>Többszempontú elemzés esetén: egy súlyozott pontszám</w:t>
                        </w:r>
                      </w:p>
                      <w:p w:rsidR="00657272" w:rsidRPr="00CE1295" w:rsidRDefault="00657272" w:rsidP="009B5E74">
                        <w:pPr>
                          <w:rPr>
                            <w:sz w:val="16"/>
                            <w:szCs w:val="16"/>
                          </w:rPr>
                        </w:pPr>
                      </w:p>
                    </w:txbxContent>
                  </v:textbox>
                </v:shape>
                <v:shape id="Text Box 136" o:spid="_x0000_s1055" type="#_x0000_t202" style="position:absolute;left:1220;top:22677;width:21072;height:1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" fillcolor="#767676" strokeweight="1.5pt">
                  <v:fill rotate="t" angle="90" focus="50%" type="gradient"/>
                  <v:textbox inset="1mm,1mm,1mm,1mm">
                    <w:txbxContent>
                      <w:p w:rsidR="00657272" w:rsidRPr="00CE1295" w:rsidRDefault="00657272" w:rsidP="009B5E74">
                        <w:pPr>
                          <w:rPr>
                            <w:sz w:val="16"/>
                            <w:szCs w:val="16"/>
                          </w:rPr>
                        </w:pPr>
                      </w:p>
                      <w:p w:rsidR="00657272" w:rsidRPr="00CE1295" w:rsidRDefault="00657272" w:rsidP="009B5E74">
                        <w:pPr>
                          <w:rPr>
                            <w:sz w:val="16"/>
                            <w:szCs w:val="16"/>
                          </w:rPr>
                        </w:pPr>
                      </w:p>
                      <w:p w:rsidR="00657272" w:rsidRPr="00CE1295" w:rsidRDefault="00657272" w:rsidP="009B5E74">
                        <w:pPr>
                          <w:rPr>
                            <w:sz w:val="16"/>
                            <w:szCs w:val="16"/>
                          </w:rPr>
                        </w:pPr>
                        <w:r w:rsidRPr="00CE1295">
                          <w:rPr>
                            <w:sz w:val="16"/>
                            <w:szCs w:val="16"/>
                          </w:rPr>
                          <w:t>Pénzügyi elemzés</w:t>
                        </w:r>
                      </w:p>
                    </w:txbxContent>
                  </v:textbox>
                </v:shape>
                <v:shape id="Text Box 138" o:spid="_x0000_s1056" type="#_x0000_t202" style="position:absolute;left:10347;top:41202;width:9365;height: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">
                  <v:textbox inset="1mm,1mm,1mm,1mm">
                    <w:txbxContent>
                      <w:p w:rsidR="00657272" w:rsidRPr="00CE1295" w:rsidRDefault="00657272" w:rsidP="009B5E74">
                        <w:pPr>
                          <w:rPr>
                            <w:sz w:val="16"/>
                            <w:szCs w:val="16"/>
                          </w:rPr>
                        </w:pPr>
                        <w:r w:rsidRPr="00CE1295">
                          <w:rPr>
                            <w:sz w:val="16"/>
                            <w:szCs w:val="16"/>
                          </w:rPr>
                          <w:t>Közgazdasági költség-haszon</w:t>
                        </w:r>
                        <w:r>
                          <w:rPr>
                            <w:sz w:val="16"/>
                            <w:szCs w:val="16"/>
                          </w:rPr>
                          <w:t xml:space="preserve"> </w:t>
                        </w:r>
                        <w:r w:rsidRPr="00CE1295">
                          <w:rPr>
                            <w:sz w:val="16"/>
                            <w:szCs w:val="16"/>
                          </w:rPr>
                          <w:t>elemzés</w:t>
                        </w:r>
                      </w:p>
                    </w:txbxContent>
                  </v:textbox>
                </v:shape>
                <v:shape id="Text Box 139" o:spid="_x0000_s1057" type="#_x0000_t202" style="position:absolute;left:25804;top:33010;width:13522;height:7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">
                  <v:textbox inset="1mm,1mm,1mm,1mm">
                    <w:txbxContent>
                      <w:p w:rsidR="00657272" w:rsidRPr="00CE1295" w:rsidRDefault="00657272" w:rsidP="009B5E74">
                        <w:pPr>
                          <w:rPr>
                            <w:sz w:val="16"/>
                            <w:szCs w:val="16"/>
                          </w:rPr>
                        </w:pPr>
                        <w:r w:rsidRPr="00CE1295">
                          <w:rPr>
                            <w:sz w:val="16"/>
                            <w:szCs w:val="16"/>
                          </w:rPr>
                          <w:t>EU támogatás számítása</w:t>
                        </w:r>
                      </w:p>
                      <w:p w:rsidR="00657272" w:rsidRPr="00CE1295" w:rsidRDefault="00657272" w:rsidP="009B5E74">
                        <w:pPr>
                          <w:rPr>
                            <w:sz w:val="16"/>
                            <w:szCs w:val="16"/>
                          </w:rPr>
                        </w:pPr>
                        <w:r w:rsidRPr="00CE1295">
                          <w:rPr>
                            <w:sz w:val="16"/>
                            <w:szCs w:val="16"/>
                          </w:rPr>
                          <w:t>Támogathatóság vizsgálata</w:t>
                        </w:r>
                      </w:p>
                      <w:p w:rsidR="00657272" w:rsidRDefault="00657272"/>
                    </w:txbxContent>
                  </v:textbox>
                </v:shape>
                <v:shape id="Text Box 140" o:spid="_x0000_s1058" type="#_x0000_t202" style="position:absolute;left:60924;top:44935;width:14048;height: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">
                  <v:textbox inset="1mm,1mm,1mm,1mm">
                    <w:txbxContent>
                      <w:p w:rsidR="00657272" w:rsidRPr="00CE1295" w:rsidRDefault="00657272" w:rsidP="009B5E74">
                        <w:pPr>
                          <w:rPr>
                            <w:sz w:val="16"/>
                            <w:szCs w:val="16"/>
                          </w:rPr>
                        </w:pPr>
                        <w:r w:rsidRPr="00CE1295">
                          <w:rPr>
                            <w:sz w:val="16"/>
                            <w:szCs w:val="16"/>
                          </w:rPr>
                          <w:t>Többszempontú elemzés szempontjai alapján egy súlyozott pontszám</w:t>
                        </w:r>
                      </w:p>
                    </w:txbxContent>
                  </v:textbox>
                </v:shape>
                <v:shape id="Text Box 141" o:spid="_x0000_s1059" type="#_x0000_t202" style="position:absolute;left:24634;top:52094;width:15218;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" fillcolor="#ddd">
                  <v:stroke dashstyle="dash"/>
                  <v:textbox inset="1mm,1mm,1mm,1mm">
                    <w:txbxContent>
                      <w:p w:rsidR="00657272" w:rsidRPr="00CE1295" w:rsidRDefault="00657272" w:rsidP="009B5E74">
                        <w:pPr>
                          <w:rPr>
                            <w:sz w:val="16"/>
                            <w:szCs w:val="16"/>
                          </w:rPr>
                        </w:pPr>
                        <w:r w:rsidRPr="00CE1295">
                          <w:rPr>
                            <w:sz w:val="16"/>
                            <w:szCs w:val="16"/>
                          </w:rPr>
                          <w:t>A költség-haszon elemzés eredményeinek szilárdságát/megbízhatóságát vizsgálja</w:t>
                        </w:r>
                      </w:p>
                    </w:txbxContent>
                  </v:textbox>
                </v:shape>
                <v:shape id="Text Box 142" o:spid="_x0000_s1060" type="#_x0000_t202" style="position:absolute;left:42193;top:52094;width:16753;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" fillcolor="#ddd">
                  <v:stroke dashstyle="dash"/>
                  <v:textbox inset="1mm,1mm,1mm,1mm">
                    <w:txbxContent>
                      <w:p w:rsidR="00657272" w:rsidRPr="00CE1295" w:rsidRDefault="00657272" w:rsidP="009B5E74">
                        <w:pPr>
                          <w:rPr>
                            <w:sz w:val="16"/>
                            <w:szCs w:val="16"/>
                          </w:rPr>
                        </w:pPr>
                        <w:r w:rsidRPr="00CE1295">
                          <w:rPr>
                            <w:sz w:val="16"/>
                            <w:szCs w:val="16"/>
                          </w:rPr>
                          <w:t xml:space="preserve">A pénzügyi és társadalmi költség-haszon elemzéssel együttesen </w:t>
                        </w:r>
                      </w:p>
                    </w:txbxContent>
                  </v:textbox>
                </v:shape>
                <v:shape id="Text Box 143" o:spid="_x0000_s1061" type="#_x0000_t202" style="position:absolute;left:60924;top:52094;width:14048;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" fillcolor="#ddd">
                  <v:stroke dashstyle="dash"/>
                  <v:textbox inset="1mm,1mm,1mm,1mm">
                    <w:txbxContent>
                      <w:p w:rsidR="00657272" w:rsidRPr="009E0823" w:rsidRDefault="00657272" w:rsidP="009E0823">
                        <w:pPr>
                          <w:spacing w:after="0"/>
                          <w:rPr>
                            <w:sz w:val="16"/>
                            <w:szCs w:val="16"/>
                          </w:rPr>
                        </w:pPr>
                        <w:r w:rsidRPr="009E0823">
                          <w:rPr>
                            <w:sz w:val="16"/>
                            <w:szCs w:val="16"/>
                          </w:rPr>
                          <w:t xml:space="preserve">Kritikus változók, </w:t>
                        </w:r>
                      </w:p>
                      <w:p w:rsidR="00657272" w:rsidRPr="009E0823" w:rsidRDefault="00657272" w:rsidP="009E0823">
                        <w:pPr>
                          <w:spacing w:after="0"/>
                          <w:rPr>
                            <w:sz w:val="16"/>
                            <w:szCs w:val="16"/>
                          </w:rPr>
                        </w:pPr>
                        <w:r w:rsidRPr="009E0823">
                          <w:rPr>
                            <w:sz w:val="16"/>
                            <w:szCs w:val="16"/>
                          </w:rPr>
                          <w:t>Küszöbértékek meghatározása</w:t>
                        </w:r>
                      </w:p>
                      <w:p w:rsidR="00657272" w:rsidRPr="009E0823" w:rsidRDefault="00657272" w:rsidP="009E0823">
                        <w:pPr>
                          <w:spacing w:after="0"/>
                          <w:rPr>
                            <w:sz w:val="16"/>
                            <w:szCs w:val="16"/>
                          </w:rPr>
                        </w:pPr>
                        <w:r w:rsidRPr="009E0823">
                          <w:rPr>
                            <w:sz w:val="16"/>
                            <w:szCs w:val="16"/>
                          </w:rPr>
                          <w:t>Kockázatok értékelése, kezelési stratégiák meghatározása</w:t>
                        </w:r>
                      </w:p>
                    </w:txbxContent>
                  </v:textbox>
                </v:shape>
                <v:shape id="Text Box 144" o:spid="_x0000_s1062" type="#_x0000_t202" style="position:absolute;left:76143;top:52094;width:17560;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" fillcolor="#ddd">
                  <v:stroke dashstyle="dash"/>
                  <v:textbox inset="1mm,1mm,1mm,1mm">
                    <w:txbxContent>
                      <w:p w:rsidR="00657272" w:rsidRPr="009E0823" w:rsidRDefault="00657272" w:rsidP="009E0823">
                        <w:pPr>
                          <w:spacing w:after="0"/>
                          <w:rPr>
                            <w:sz w:val="16"/>
                            <w:szCs w:val="16"/>
                          </w:rPr>
                        </w:pPr>
                        <w:r w:rsidRPr="009E0823">
                          <w:rPr>
                            <w:sz w:val="16"/>
                            <w:szCs w:val="16"/>
                          </w:rPr>
                          <w:t>Előrejelzések kritikus pontjainak meghatározása,</w:t>
                        </w:r>
                      </w:p>
                      <w:p w:rsidR="00657272" w:rsidRPr="009E0823" w:rsidRDefault="00657272" w:rsidP="009E0823">
                        <w:pPr>
                          <w:spacing w:after="0"/>
                          <w:rPr>
                            <w:sz w:val="16"/>
                            <w:szCs w:val="16"/>
                          </w:rPr>
                        </w:pPr>
                        <w:r w:rsidRPr="009E0823">
                          <w:rPr>
                            <w:sz w:val="16"/>
                            <w:szCs w:val="16"/>
                          </w:rPr>
                          <w:t>A kockázat felmérése,</w:t>
                        </w:r>
                      </w:p>
                      <w:p w:rsidR="00657272" w:rsidRPr="009E0823" w:rsidRDefault="00657272" w:rsidP="009E0823">
                        <w:pPr>
                          <w:spacing w:after="0"/>
                          <w:rPr>
                            <w:sz w:val="16"/>
                            <w:szCs w:val="16"/>
                          </w:rPr>
                        </w:pPr>
                        <w:r w:rsidRPr="009E0823">
                          <w:rPr>
                            <w:sz w:val="16"/>
                            <w:szCs w:val="16"/>
                          </w:rPr>
                          <w:t>Műszaki tartalék indoklása</w:t>
                        </w:r>
                      </w:p>
                      <w:p w:rsidR="00657272" w:rsidRPr="009E0823" w:rsidRDefault="00657272" w:rsidP="009E0823">
                        <w:pPr>
                          <w:spacing w:after="0"/>
                          <w:rPr>
                            <w:sz w:val="16"/>
                            <w:szCs w:val="16"/>
                          </w:rPr>
                        </w:pPr>
                        <w:r w:rsidRPr="009E0823">
                          <w:rPr>
                            <w:sz w:val="16"/>
                            <w:szCs w:val="16"/>
                          </w:rPr>
                          <w:t>A változatok közötti választás megalapozása</w:t>
                        </w:r>
                      </w:p>
                    </w:txbxContent>
                  </v:textbox>
                </v:shape>
                <v:line id="Line 145" o:spid="_x0000_s1063" style="position:absolute;visibility:visible;mso-wrap-style:square" from="1220,51299" to="91368,5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">
                  <v:stroke dashstyle="dashDot"/>
                </v:line>
                <v:shape id="Text Box 146" o:spid="_x0000_s1064" type="#_x0000_t202" style="position:absolute;left:7904;top:6186;width:13522;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">
                  <v:textbox inset="1mm,1mm,1mm,1mm">
                    <w:txbxContent>
                      <w:p w:rsidR="00657272" w:rsidRPr="00CE1295" w:rsidRDefault="00657272" w:rsidP="009B5E74">
                        <w:pPr>
                          <w:rPr>
                            <w:sz w:val="16"/>
                            <w:szCs w:val="16"/>
                          </w:rPr>
                        </w:pPr>
                        <w:r w:rsidRPr="00CE1295">
                          <w:rPr>
                            <w:sz w:val="16"/>
                            <w:szCs w:val="16"/>
                          </w:rPr>
                          <w:t>Költség-hatékonyság elemzés</w:t>
                        </w:r>
                      </w:p>
                    </w:txbxContent>
                  </v:textbox>
                </v:shape>
                <v:shape id="Text Box 147" o:spid="_x0000_s1065" type="#_x0000_t202" style="position:absolute;left:25804;top:27447;width:13522;height: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">
                  <v:textbox inset="1mm,1mm,1mm,1mm">
                    <w:txbxContent>
                      <w:p w:rsidR="00657272" w:rsidRPr="00CE1295" w:rsidRDefault="00657272" w:rsidP="009B5E74">
                        <w:pPr>
                          <w:rPr>
                            <w:sz w:val="16"/>
                            <w:szCs w:val="16"/>
                          </w:rPr>
                        </w:pPr>
                        <w:r w:rsidRPr="00CE1295">
                          <w:rPr>
                            <w:sz w:val="16"/>
                            <w:szCs w:val="16"/>
                          </w:rPr>
                          <w:t>Finanszírozás, fenntarthatóság vizsgálata</w:t>
                        </w:r>
                      </w:p>
                    </w:txbxContent>
                  </v:textbox>
                </v:shape>
                <v:shape id="Text Box 148" o:spid="_x0000_s1066" type="#_x0000_t202" style="position:absolute;left:60924;top:30628;width:14073;height: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">
                  <v:textbox inset="1mm,1mm,1mm,1mm">
                    <w:txbxContent>
                      <w:p w:rsidR="00657272" w:rsidRPr="00CE1295" w:rsidRDefault="00657272" w:rsidP="009B5E74">
                        <w:pPr>
                          <w:rPr>
                            <w:sz w:val="16"/>
                            <w:szCs w:val="16"/>
                          </w:rPr>
                        </w:pPr>
                        <w:r w:rsidRPr="00CE1295">
                          <w:rPr>
                            <w:sz w:val="16"/>
                            <w:szCs w:val="16"/>
                          </w:rPr>
                          <w:t>Pénzáram tábla (cash flow)</w:t>
                        </w:r>
                      </w:p>
                    </w:txbxContent>
                  </v:textbox>
                </v:shape>
                <w10:anchorlock/>
              </v:group>
            </w:pict>
          </mc:Fallback>
        </mc:AlternateContent>
      </w:r>
    </w:p>
    <w:p w:rsidR="009B5E74" w:rsidRPr="00D40DC4" w:rsidRDefault="009B5E74" w:rsidP="009B5E74">
      <w:pPr>
        <w:rPr>
          <w:rFonts w:cs="Arial"/>
        </w:rPr>
        <w:sectPr w:rsidR="009B5E74" w:rsidRPr="00D40DC4" w:rsidSect="00CE1295">
          <w:footerReference w:type="default" r:id="rId14"/>
          <w:footerReference w:type="first" r:id="rId15"/>
          <w:pgSz w:w="16838" w:h="11906" w:orient="landscape"/>
          <w:pgMar w:top="426" w:right="1417" w:bottom="568" w:left="1417" w:header="708" w:footer="708" w:gutter="0"/>
          <w:cols w:space="708"/>
          <w:titlePg/>
          <w:docGrid w:linePitch="360"/>
        </w:sectPr>
      </w:pPr>
    </w:p>
    <w:p w:rsidR="009B5E74" w:rsidRPr="00D40DC4" w:rsidRDefault="009B5E74" w:rsidP="00DD7E6C">
      <w:pPr>
        <w:pStyle w:val="Cmsor2"/>
      </w:pPr>
      <w:bookmarkStart w:id="12" w:name="_Toc436923874"/>
      <w:r w:rsidRPr="00D40DC4">
        <w:lastRenderedPageBreak/>
        <w:t>A költség-haszon elemzés a projekt előkészítés folyamatában</w:t>
      </w:r>
      <w:bookmarkEnd w:id="12"/>
    </w:p>
    <w:p w:rsidR="009B5E74" w:rsidRPr="00D40DC4" w:rsidRDefault="009B5E74" w:rsidP="009B5E74">
      <w:pPr>
        <w:rPr>
          <w:rFonts w:cs="Arial"/>
        </w:rPr>
      </w:pPr>
      <w:r w:rsidRPr="00D40DC4">
        <w:rPr>
          <w:rFonts w:cs="Arial"/>
        </w:rPr>
        <w:t xml:space="preserve">A költség-haszon elemzésnek a projekt előkészítés folyamatában a környezetvédelmi, műszaki, tervezési feladatokhoz és az intézményi elemzéshez kell kapcsolódnia. Az integrált megközelítés elengedhetetlen. </w:t>
      </w:r>
    </w:p>
    <w:p w:rsidR="009B5E74" w:rsidRPr="00D40DC4" w:rsidRDefault="009B5E74" w:rsidP="009B5E74">
      <w:pPr>
        <w:rPr>
          <w:rFonts w:cs="Arial"/>
        </w:rPr>
      </w:pPr>
      <w:r w:rsidRPr="00D40DC4">
        <w:rPr>
          <w:rFonts w:cs="Arial"/>
        </w:rPr>
        <w:t>Költség-haszon elemzést a megvalósíthatósági tanulmány, üzleti terv készítési folyamatába kell integrálni.</w:t>
      </w:r>
    </w:p>
    <w:p w:rsidR="009B5E74" w:rsidRPr="00D40DC4" w:rsidRDefault="009B5E74" w:rsidP="009B5E74">
      <w:pPr>
        <w:rPr>
          <w:rFonts w:cs="Arial"/>
        </w:rPr>
      </w:pPr>
      <w:r w:rsidRPr="00D40DC4">
        <w:rPr>
          <w:rFonts w:cs="Arial"/>
        </w:rPr>
        <w:t>Az elemzés adatait azonban pontosítani szükséges, ha a műszaki tervezés újabb fázisába kerül (pl. elkészül az engedélyes terv), illetve pontosodnak a hatások becslései. Költségbecsléseket alapvetően tervezői költségbecslések, illetve az üzemeltetők adatai adnak. Az előrejelzéseket szintén az ő segítségükkel kell elvégezni. A költség-haszon elemzés során felhasznált adatok műszaki szempontból való alátámasztása szükséges. Ez különösen fontos a karbantartási költségek, pótlási költségek és a maradványérték becslése konzisztens becslésénél.</w:t>
      </w:r>
    </w:p>
    <w:p w:rsidR="009B5E74" w:rsidRPr="00D40DC4" w:rsidRDefault="00583B66" w:rsidP="009B5E74">
      <w:pPr>
        <w:rPr>
          <w:rFonts w:cs="Arial"/>
        </w:rPr>
      </w:pPr>
      <w:r w:rsidRPr="00D40DC4">
        <w:rPr>
          <w:rFonts w:cs="Arial"/>
        </w:rPr>
        <w:t xml:space="preserve">A </w:t>
      </w:r>
      <w:r w:rsidR="00905B20" w:rsidRPr="00D40DC4">
        <w:rPr>
          <w:rFonts w:cs="Arial"/>
        </w:rPr>
        <w:t>hazai szabályozás</w:t>
      </w:r>
      <w:r w:rsidRPr="00D40DC4">
        <w:rPr>
          <w:rFonts w:cs="Arial"/>
        </w:rPr>
        <w:t xml:space="preserve"> szerinti eljárásokban</w:t>
      </w:r>
      <w:r w:rsidR="006D789F" w:rsidRPr="00D40DC4">
        <w:rPr>
          <w:rFonts w:cs="Arial"/>
        </w:rPr>
        <w:t>, ez alapján az egyes támogatási konstrukciókban</w:t>
      </w:r>
      <w:r w:rsidRPr="00D40DC4">
        <w:rPr>
          <w:rFonts w:cs="Arial"/>
        </w:rPr>
        <w:t xml:space="preserve"> </w:t>
      </w:r>
      <w:r w:rsidR="006D789F" w:rsidRPr="00D40DC4">
        <w:rPr>
          <w:rFonts w:cs="Arial"/>
        </w:rPr>
        <w:t xml:space="preserve">a támogatási kérelem beadásához, illetve a támogatási szerződések megkötését követően eltérő követelmények kapcsolódnak a megvalósíthatósági tanulmány típusú dokumentumokra vonatkozóan. A </w:t>
      </w:r>
      <w:r w:rsidR="000C12AC" w:rsidRPr="00D40DC4">
        <w:rPr>
          <w:rFonts w:cs="Arial"/>
        </w:rPr>
        <w:t>„Tájékoztató költség-haszon elemzés készítéséről” c. dokumentum határozza meg, hogy megvalósíthatósági tanulmány típusú dokumentumok és a költség-haszon elemzés dokumentálása hogyan történik az adott kiírás esetében.</w:t>
      </w:r>
      <w:r w:rsidR="009B5E74" w:rsidRPr="00D40DC4">
        <w:rPr>
          <w:rFonts w:cs="Arial"/>
        </w:rPr>
        <w:t xml:space="preserve"> </w:t>
      </w:r>
    </w:p>
    <w:p w:rsidR="009B5E74" w:rsidRPr="00D40DC4" w:rsidRDefault="009B5E74" w:rsidP="00DD7E6C">
      <w:pPr>
        <w:pStyle w:val="Cmsor2"/>
      </w:pPr>
      <w:bookmarkStart w:id="13" w:name="_Toc428260318"/>
      <w:bookmarkStart w:id="14" w:name="_Toc428280280"/>
      <w:bookmarkStart w:id="15" w:name="_Toc428430388"/>
      <w:bookmarkStart w:id="16" w:name="_Toc428431352"/>
      <w:bookmarkStart w:id="17" w:name="_Toc428635924"/>
      <w:bookmarkStart w:id="18" w:name="_Toc428771492"/>
      <w:bookmarkStart w:id="19" w:name="_Toc436923875"/>
      <w:bookmarkEnd w:id="13"/>
      <w:bookmarkEnd w:id="14"/>
      <w:bookmarkEnd w:id="15"/>
      <w:bookmarkEnd w:id="16"/>
      <w:bookmarkEnd w:id="17"/>
      <w:bookmarkEnd w:id="18"/>
      <w:r w:rsidRPr="00D40DC4">
        <w:t xml:space="preserve">A költség-haszon elemzés </w:t>
      </w:r>
      <w:r w:rsidR="00AD7AA4" w:rsidRPr="00D40DC4">
        <w:t xml:space="preserve">eredményeinek </w:t>
      </w:r>
      <w:r w:rsidRPr="00D40DC4">
        <w:t>dokumentálása</w:t>
      </w:r>
      <w:bookmarkEnd w:id="19"/>
    </w:p>
    <w:p w:rsidR="0060489B" w:rsidRPr="00D40DC4" w:rsidRDefault="0060489B" w:rsidP="009B5E74">
      <w:pPr>
        <w:rPr>
          <w:rFonts w:cs="Arial"/>
        </w:rPr>
      </w:pPr>
      <w:r w:rsidRPr="00D40DC4">
        <w:rPr>
          <w:rFonts w:cs="Arial"/>
        </w:rPr>
        <w:t>A projektek kö</w:t>
      </w:r>
      <w:r w:rsidR="001602DA" w:rsidRPr="00D40DC4">
        <w:rPr>
          <w:rFonts w:cs="Arial"/>
        </w:rPr>
        <w:t>ltség-haszon elemzés dokumentumának</w:t>
      </w:r>
      <w:r w:rsidRPr="00D40DC4">
        <w:rPr>
          <w:rFonts w:cs="Arial"/>
        </w:rPr>
        <w:t xml:space="preserve"> (továbbiakban: CBA dokumentum) </w:t>
      </w:r>
      <w:r w:rsidR="001602DA" w:rsidRPr="00D40DC4">
        <w:rPr>
          <w:rFonts w:cs="Arial"/>
        </w:rPr>
        <w:t>felépítését valamint információtartalmát az Európai Parlament és a Tanács 1303/2013/EU rendelete valamint a Bizottság 2015/207/EU végrehajtási rendelete rögzíti.</w:t>
      </w:r>
    </w:p>
    <w:p w:rsidR="009B5E74" w:rsidRPr="00D40DC4" w:rsidRDefault="001602DA" w:rsidP="009B5E74">
      <w:pPr>
        <w:rPr>
          <w:rFonts w:cs="Arial"/>
        </w:rPr>
      </w:pPr>
      <w:r w:rsidRPr="00D40DC4">
        <w:rPr>
          <w:rFonts w:cs="Arial"/>
        </w:rPr>
        <w:t>A CBA dokumentum felépítését és annak tartalmi követelményeit a következő táblázat mutatja be.</w:t>
      </w:r>
    </w:p>
    <w:p w:rsidR="005536FB" w:rsidRPr="00D40DC4" w:rsidRDefault="009C3A2B" w:rsidP="002314F2">
      <w:pPr>
        <w:pStyle w:val="Tblzat"/>
      </w:pPr>
      <w:fldSimple w:instr=" SEQ táblázat \* ARABIC ">
        <w:bookmarkStart w:id="20" w:name="_Toc436923934"/>
        <w:r w:rsidR="007B4938" w:rsidRPr="00D40DC4">
          <w:rPr>
            <w:noProof/>
          </w:rPr>
          <w:t>1</w:t>
        </w:r>
      </w:fldSimple>
      <w:r w:rsidR="005536FB" w:rsidRPr="00D40DC4">
        <w:t>. táblázat: A CBA dokumentum felépítése és tartalmi követelményei</w:t>
      </w:r>
      <w:bookmarkEnd w:id="20"/>
    </w:p>
    <w:tbl>
      <w:tblPr>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7"/>
        <w:gridCol w:w="6312"/>
      </w:tblGrid>
      <w:tr w:rsidR="00996D99" w:rsidRPr="00D40DC4" w:rsidTr="00DD7E6C">
        <w:trPr>
          <w:cantSplit/>
          <w:trHeight w:val="255"/>
          <w:tblHeader/>
        </w:trPr>
        <w:tc>
          <w:tcPr>
            <w:tcW w:w="1776" w:type="pct"/>
            <w:shd w:val="clear" w:color="auto" w:fill="99CCFF"/>
            <w:tcMar>
              <w:top w:w="0" w:type="dxa"/>
              <w:left w:w="70" w:type="dxa"/>
              <w:bottom w:w="0" w:type="dxa"/>
              <w:right w:w="70" w:type="dxa"/>
            </w:tcMar>
            <w:vAlign w:val="center"/>
            <w:hideMark/>
          </w:tcPr>
          <w:p w:rsidR="00996D99" w:rsidRPr="00D40DC4" w:rsidRDefault="00996D99">
            <w:pPr>
              <w:spacing w:after="0" w:line="252" w:lineRule="auto"/>
              <w:ind w:left="209" w:hanging="209"/>
              <w:jc w:val="center"/>
              <w:rPr>
                <w:b/>
                <w:bCs/>
                <w:lang w:eastAsia="hu-HU"/>
              </w:rPr>
            </w:pPr>
            <w:r w:rsidRPr="00D40DC4">
              <w:rPr>
                <w:b/>
                <w:bCs/>
                <w:lang w:eastAsia="hu-HU"/>
              </w:rPr>
              <w:t>Fejezet</w:t>
            </w:r>
          </w:p>
        </w:tc>
        <w:tc>
          <w:tcPr>
            <w:tcW w:w="3224" w:type="pct"/>
            <w:shd w:val="clear" w:color="auto" w:fill="99CCFF"/>
            <w:tcMar>
              <w:top w:w="0" w:type="dxa"/>
              <w:left w:w="70" w:type="dxa"/>
              <w:bottom w:w="0" w:type="dxa"/>
              <w:right w:w="70" w:type="dxa"/>
            </w:tcMar>
            <w:vAlign w:val="center"/>
            <w:hideMark/>
          </w:tcPr>
          <w:p w:rsidR="00996D99" w:rsidRPr="00D40DC4" w:rsidRDefault="00996D99">
            <w:pPr>
              <w:spacing w:after="0" w:line="252" w:lineRule="auto"/>
              <w:jc w:val="center"/>
              <w:rPr>
                <w:b/>
                <w:bCs/>
                <w:lang w:eastAsia="hu-HU"/>
              </w:rPr>
            </w:pPr>
            <w:r w:rsidRPr="00D40DC4">
              <w:rPr>
                <w:b/>
                <w:bCs/>
                <w:lang w:eastAsia="hu-HU"/>
              </w:rPr>
              <w:t>Tartalmi követelmények</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1. Vezetői összefoglaló</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2. Bevezető</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3. A háttér bemutatása</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val="x-none" w:eastAsia="x-none"/>
              </w:rPr>
              <w:t>A projektértékelés első lépése a projekt társadalmi, gazdasági, politikai és intézményi környezetének leírása</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3.1. Társadalmi-gazdasági feltételek</w:t>
            </w:r>
          </w:p>
        </w:tc>
        <w:tc>
          <w:tcPr>
            <w:tcW w:w="3224" w:type="pct"/>
            <w:tcMar>
              <w:top w:w="0" w:type="dxa"/>
              <w:left w:w="70" w:type="dxa"/>
              <w:bottom w:w="0" w:type="dxa"/>
              <w:right w:w="70" w:type="dxa"/>
            </w:tcMar>
            <w:vAlign w:val="center"/>
            <w:hideMark/>
          </w:tcPr>
          <w:p w:rsidR="00996D99" w:rsidRPr="00D40DC4" w:rsidRDefault="00996D99">
            <w:pPr>
              <w:spacing w:after="0" w:line="252" w:lineRule="auto"/>
              <w:ind w:left="-4"/>
              <w:jc w:val="left"/>
            </w:pPr>
            <w:r w:rsidRPr="00D40DC4">
              <w:t>A projekt szempontjából releváns terület társadalmi-gazdasági helyzete (pl. népességdinamika, várható GDP növekedés, a munkaerő-piac állapota, munkanélküliségi helyzet stb.)</w:t>
            </w:r>
          </w:p>
          <w:p w:rsidR="00996D99" w:rsidRPr="00D40DC4" w:rsidRDefault="00996D99">
            <w:pPr>
              <w:spacing w:after="0" w:line="252" w:lineRule="auto"/>
              <w:ind w:left="-4"/>
              <w:jc w:val="left"/>
              <w:rPr>
                <w:lang w:eastAsia="hu-HU"/>
              </w:rPr>
            </w:pPr>
            <w:r w:rsidRPr="00D40DC4">
              <w:t>Egyéb releváns információk és statisztikák, melyek segíthetik a projekt környezetének jobb megértését, mint például a környezetvédelmi intézkedések léte vagy a bevonandó környezetvédelmi hatóságok stb.</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3.2. Szakpolitikai és intézményi szempontok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t>szakpolitikai és intézményi szempontok, beleértve a jelenlegi gazdaságpolitikákat és fejlesztési terveket, valamint azok szakpolitikai céljait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3.3. A jelenlegi infrastrukturális adottságok és szolgáltatások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t>meglévő infrastruktúra és nyújtott szolgáltatás, ide értve a lefedettség arányát, a szolgáltatás minőségét, a működési költségeket valamint a használók által fizetett díjakat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3.4. A tervezett szolgáltatás megítélése és az ezzel kapcsolatos lakossági elvárások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t>a tervezett szolgáltatás megítélése és az ezzel kapcsolatos lakossági elvárások, továbbá a civil szervezetek véleménye, ha az releváns</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lang w:eastAsia="hu-HU"/>
              </w:rPr>
            </w:pPr>
            <w:r w:rsidRPr="00D40DC4">
              <w:rPr>
                <w:b/>
                <w:bCs/>
                <w:lang w:eastAsia="hu-HU"/>
              </w:rPr>
              <w:t>4. A projekt célkitűzései</w:t>
            </w:r>
          </w:p>
        </w:tc>
        <w:tc>
          <w:tcPr>
            <w:tcW w:w="3224" w:type="pct"/>
            <w:vMerge w:val="restar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val="x-none" w:eastAsia="x-none"/>
              </w:rPr>
              <w:t>Világos célokat kell meghatározni a projekttel kapcsolatban annak igazolására, hogy a beruházás létező szükségleteket elégít ki, valamint a projekt eredményeinek és hatásának értékelése érdekében. A célokat lehetőség szerint a kiinduló és célértékek alapján kapott mutatók segítségével számszerűsíteni kell</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4.1 Azonosított igények és problémák</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4.2 A projekt célrendszere</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4.3 Illeszkedés a TOP célokhoz</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4.4 Indikátorok</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lang w:eastAsia="hu-HU"/>
              </w:rPr>
            </w:pPr>
            <w:r w:rsidRPr="00D40DC4">
              <w:rPr>
                <w:b/>
                <w:bCs/>
                <w:lang w:eastAsia="hu-HU"/>
              </w:rPr>
              <w:lastRenderedPageBreak/>
              <w:t>5. Kedvezményezett</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5.1 Kedvezményezett(ek) általános bemutatása</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5.2 Az együttműködő partnerek</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lang w:eastAsia="hu-HU"/>
              </w:rPr>
            </w:pPr>
            <w:r w:rsidRPr="00D40DC4">
              <w:rPr>
                <w:b/>
                <w:bCs/>
                <w:lang w:eastAsia="hu-HU"/>
              </w:rPr>
              <w:t>6. A projekt megvalósíthatósági elemzések eredményei</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val="x-none" w:eastAsia="x-none"/>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6.1. Megvalósíthatóság keretei</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t>A megvalósíthatósági elemzés meghatározza a műszaki, gazdasági, környezetvédelmi és az éghajlatváltozás mérséklésével és az éghajlatváltozáshoz való alkalmazkodással kapcsolatos, szabályozói és intézményi szempontokkal összefüggő lehetséges korlátokat és megoldásokat. Egy projekt akkor minősül megvalósíthatónak, ha tervezése megfelel az ország, régió vagy konkrét helyszín szempontjából meghatározó műszaki, jogi, pénzügyi és más feltételeknek. A projekttel kapcsolatos többféle változat is megvalósíthatónak minősülhet.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6.2. Keresletelemzés</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3.9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6.3 A projekt nélküli eset az MT jellegű dokumentumban a változatelemzéshez</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r w:rsidRPr="00D40DC4">
              <w:rPr>
                <w:lang w:eastAsia="hu-HU"/>
              </w:rPr>
              <w:t>Ld. 3.2.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6.4. Változatelemzés</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4.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7. Projekt meghatározása</w:t>
            </w:r>
          </w:p>
        </w:tc>
        <w:tc>
          <w:tcPr>
            <w:tcW w:w="3224" w:type="pct"/>
            <w:vMerge w:val="restart"/>
            <w:tcMar>
              <w:top w:w="0" w:type="dxa"/>
              <w:left w:w="70" w:type="dxa"/>
              <w:bottom w:w="0" w:type="dxa"/>
              <w:right w:w="70" w:type="dxa"/>
            </w:tcMar>
            <w:vAlign w:val="center"/>
            <w:hideMark/>
          </w:tcPr>
          <w:p w:rsidR="00996D99" w:rsidRPr="00D40DC4" w:rsidRDefault="00996D99">
            <w:pPr>
              <w:spacing w:line="252" w:lineRule="auto"/>
              <w:jc w:val="left"/>
              <w:rPr>
                <w:lang w:val="x-none" w:eastAsia="x-none"/>
              </w:rPr>
            </w:pPr>
            <w:r w:rsidRPr="00D40DC4">
              <w:rPr>
                <w:lang w:val="x-none" w:eastAsia="x-none"/>
              </w:rPr>
              <w:t xml:space="preserve">A projektek meghatározása során figyelembe kell venni a nagyprojekt az 1303/2013/EU rendelet 100. cikkében található meghatározását és az alábbi elveket: </w:t>
            </w:r>
          </w:p>
          <w:p w:rsidR="00996D99" w:rsidRPr="00D40DC4" w:rsidRDefault="00996D99" w:rsidP="00996D99">
            <w:pPr>
              <w:numPr>
                <w:ilvl w:val="0"/>
                <w:numId w:val="164"/>
              </w:numPr>
              <w:spacing w:line="252" w:lineRule="auto"/>
            </w:pPr>
            <w:r w:rsidRPr="00D40DC4">
              <w:t xml:space="preserve">a projektet egyértelműen önálló elemzési egységként kell meghatározni, azaz az önmagukban operatívnak nem minősülő műszaki részeket és adminisztratív vagy pénzügyi szakaszokat a költség-haszon elemzésben a nagyprojektet alkotó többi szakasszal együttesen kell elemezni. </w:t>
            </w:r>
          </w:p>
          <w:p w:rsidR="00996D99" w:rsidRPr="00D40DC4" w:rsidRDefault="00996D99" w:rsidP="00996D99">
            <w:pPr>
              <w:numPr>
                <w:ilvl w:val="0"/>
                <w:numId w:val="164"/>
              </w:numPr>
              <w:spacing w:line="252" w:lineRule="auto"/>
            </w:pPr>
            <w:r w:rsidRPr="00D40DC4">
              <w:t>figyelembe kell venni a projekt hatásával érintett területet, a végső kedvezményezetteket és azokat a lényeges szereplőket, akiknek a jóléte beleszámít a projekt nettó hasznainak összesítésébe.</w:t>
            </w:r>
          </w:p>
          <w:p w:rsidR="00996D99" w:rsidRPr="00D40DC4" w:rsidRDefault="00996D99" w:rsidP="00996D99">
            <w:pPr>
              <w:numPr>
                <w:ilvl w:val="0"/>
                <w:numId w:val="164"/>
              </w:numPr>
              <w:spacing w:line="252" w:lineRule="auto"/>
              <w:rPr>
                <w:lang w:eastAsia="hu-HU"/>
              </w:rPr>
            </w:pPr>
            <w:r w:rsidRPr="00D40DC4">
              <w:t>azonosítani kell a végrehajtásért felelős testületet, és elemezni kell annak technikai, pénzügyi és intézményi kapacitásait.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7.1 Fejlesztés műszaki tartalma</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7.2 Létrehozott eszközök működtetése, a szolgáltatás bemutatása</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7.3 Intézményi kérdések</w:t>
            </w:r>
          </w:p>
        </w:tc>
        <w:tc>
          <w:tcPr>
            <w:tcW w:w="3224" w:type="pct"/>
            <w:vMerge/>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lang w:eastAsia="hu-HU"/>
              </w:rPr>
            </w:pPr>
            <w:r w:rsidRPr="00D40DC4">
              <w:rPr>
                <w:b/>
                <w:bCs/>
                <w:lang w:eastAsia="hu-HU"/>
              </w:rPr>
              <w:t>8. A CBA dokumentum készítése során alkalmazott módszertan</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r w:rsidRPr="00D40DC4">
              <w:rPr>
                <w:lang w:eastAsia="hu-HU"/>
              </w:rPr>
              <w:t>Ld. 3.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jc w:val="left"/>
              <w:rPr>
                <w:b/>
                <w:bCs/>
                <w:lang w:eastAsia="hu-HU"/>
              </w:rPr>
            </w:pPr>
            <w:r w:rsidRPr="00D40DC4">
              <w:rPr>
                <w:b/>
                <w:bCs/>
                <w:lang w:eastAsia="hu-HU"/>
              </w:rPr>
              <w:t>9. Pénzügyi elemzés</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b/>
                <w:b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9.1. Pénzügyi pénzáramok becslése</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9.1.1. Beruházási költségek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5.2.1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9.1.2. Pótlási költségek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5.2.2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9.1.3. Üzemeltetési és karbantartási költségek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5.2.2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9.1.4. Bevételek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5.3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9.1.5. Maradványérték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5.2.3.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9.1.6. A pénzügyi költségek és bevételek összegzése</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9.1.7. A finanszírozás forrása</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5.6.1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9.2. A pénzügyi elemzés eredményei</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9.2.1. A projekt pénzügyi megtérülése</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5.4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lastRenderedPageBreak/>
              <w:t>9.2.2. A támogatási összeg meghatározása</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1.1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9.2.3. Pénzügyi fenntarthatóság vizsgálata</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5.6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10. Közgazdasági elemzés</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b/>
                <w:b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10.1. Közgazdasági pénzáramok becslése</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10.1.1. Költségek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6.1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lang w:eastAsia="hu-HU"/>
              </w:rPr>
            </w:pPr>
            <w:r w:rsidRPr="00D40DC4">
              <w:rPr>
                <w:lang w:eastAsia="hu-HU"/>
              </w:rPr>
              <w:t>10.1.2. Hasznok</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6.2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 xml:space="preserve">10.2. Közgazdasági teljesítménymutatók </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6.3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b/>
                <w:bCs/>
                <w:lang w:eastAsia="hu-HU"/>
              </w:rPr>
            </w:pPr>
            <w:r w:rsidRPr="00D40DC4">
              <w:rPr>
                <w:b/>
                <w:bCs/>
                <w:lang w:eastAsia="hu-HU"/>
              </w:rPr>
              <w:t>11. Kockázatelemzés- és érzékenységvizsgálat</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b/>
                <w:b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11.1. Érzékenységvizsgálat</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7.1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11.2. Kockázatelemzés</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lang w:eastAsia="hu-HU"/>
              </w:rPr>
            </w:pPr>
            <w:r w:rsidRPr="00D40DC4">
              <w:rPr>
                <w:lang w:eastAsia="hu-HU"/>
              </w:rPr>
              <w:t>Ld. 7.2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i/>
                <w:iCs/>
                <w:lang w:eastAsia="hu-HU"/>
              </w:rPr>
            </w:pPr>
            <w:r w:rsidRPr="00D40DC4">
              <w:rPr>
                <w:lang w:eastAsia="hu-HU"/>
              </w:rPr>
              <w:t>11.2.1 Kvalitatív kockázatelemzés</w:t>
            </w:r>
          </w:p>
        </w:tc>
        <w:tc>
          <w:tcPr>
            <w:tcW w:w="3224" w:type="pct"/>
            <w:tcMar>
              <w:top w:w="0" w:type="dxa"/>
              <w:left w:w="70" w:type="dxa"/>
              <w:bottom w:w="0" w:type="dxa"/>
              <w:right w:w="70" w:type="dxa"/>
            </w:tcMar>
            <w:vAlign w:val="center"/>
            <w:hideMark/>
          </w:tcPr>
          <w:p w:rsidR="00996D99" w:rsidRPr="00D40DC4" w:rsidRDefault="00996D99">
            <w:pPr>
              <w:spacing w:after="0" w:line="252" w:lineRule="auto"/>
              <w:jc w:val="left"/>
              <w:rPr>
                <w:i/>
                <w:iCs/>
                <w:lang w:eastAsia="hu-HU"/>
              </w:rPr>
            </w:pPr>
            <w:r w:rsidRPr="00D40DC4">
              <w:rPr>
                <w:i/>
                <w:iCs/>
                <w:lang w:eastAsia="hu-HU"/>
              </w:rPr>
              <w:t>Ld. 7.3 fejezet</w:t>
            </w: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i/>
                <w:iCs/>
                <w:lang w:eastAsia="hu-HU"/>
              </w:rPr>
            </w:pPr>
            <w:r w:rsidRPr="00D40DC4">
              <w:rPr>
                <w:lang w:eastAsia="hu-HU"/>
              </w:rPr>
              <w:t>11.2.2 Kockázatkezelési stratégia</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i/>
                <w:iCs/>
                <w:lang w:eastAsia="hu-HU"/>
              </w:rPr>
            </w:pPr>
            <w:r w:rsidRPr="00D40DC4">
              <w:rPr>
                <w:lang w:eastAsia="hu-HU"/>
              </w:rPr>
              <w:t>11.2.3 Kvantitatív kockázatelemzés</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r w:rsidR="00996D99" w:rsidRPr="00D40DC4" w:rsidTr="00DD7E6C">
        <w:trPr>
          <w:cantSplit/>
          <w:trHeight w:val="102"/>
        </w:trPr>
        <w:tc>
          <w:tcPr>
            <w:tcW w:w="1776" w:type="pct"/>
            <w:tcMar>
              <w:top w:w="0" w:type="dxa"/>
              <w:left w:w="70" w:type="dxa"/>
              <w:bottom w:w="0" w:type="dxa"/>
              <w:right w:w="70" w:type="dxa"/>
            </w:tcMar>
            <w:vAlign w:val="center"/>
            <w:hideMark/>
          </w:tcPr>
          <w:p w:rsidR="00996D99" w:rsidRPr="00D40DC4" w:rsidRDefault="00996D99">
            <w:pPr>
              <w:spacing w:after="0" w:line="252" w:lineRule="auto"/>
              <w:ind w:left="209" w:hanging="209"/>
              <w:jc w:val="left"/>
              <w:rPr>
                <w:i/>
                <w:iCs/>
                <w:lang w:eastAsia="hu-HU"/>
              </w:rPr>
            </w:pPr>
            <w:r w:rsidRPr="00D40DC4">
              <w:rPr>
                <w:b/>
                <w:bCs/>
                <w:lang w:eastAsia="hu-HU"/>
              </w:rPr>
              <w:t>12. Cselekvési Terv a projekt megvalósítására</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351" w:hanging="209"/>
              <w:jc w:val="left"/>
              <w:rPr>
                <w:lang w:eastAsia="hu-HU"/>
              </w:rPr>
            </w:pPr>
            <w:r w:rsidRPr="00D40DC4">
              <w:rPr>
                <w:lang w:eastAsia="hu-HU"/>
              </w:rPr>
              <w:t>12.1 Lebonyolítási tervek a projekt megvalósítására</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i/>
                <w:iCs/>
                <w:lang w:eastAsia="hu-HU"/>
              </w:rPr>
            </w:pPr>
            <w:r w:rsidRPr="00D40DC4">
              <w:rPr>
                <w:lang w:eastAsia="hu-HU"/>
              </w:rPr>
              <w:t>12.1.1 Előkészítettség bemutatása</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r w:rsidR="00996D99" w:rsidRPr="00D40DC4" w:rsidTr="00DD7E6C">
        <w:trPr>
          <w:cantSplit/>
          <w:trHeight w:val="255"/>
        </w:trPr>
        <w:tc>
          <w:tcPr>
            <w:tcW w:w="1776" w:type="pct"/>
            <w:tcMar>
              <w:top w:w="0" w:type="dxa"/>
              <w:left w:w="70" w:type="dxa"/>
              <w:bottom w:w="0" w:type="dxa"/>
              <w:right w:w="70" w:type="dxa"/>
            </w:tcMar>
            <w:vAlign w:val="center"/>
            <w:hideMark/>
          </w:tcPr>
          <w:p w:rsidR="00996D99" w:rsidRPr="00D40DC4" w:rsidRDefault="00996D99">
            <w:pPr>
              <w:spacing w:after="0" w:line="252" w:lineRule="auto"/>
              <w:ind w:left="492" w:hanging="209"/>
              <w:jc w:val="left"/>
              <w:rPr>
                <w:i/>
                <w:iCs/>
                <w:lang w:eastAsia="hu-HU"/>
              </w:rPr>
            </w:pPr>
            <w:r w:rsidRPr="00D40DC4">
              <w:rPr>
                <w:lang w:eastAsia="hu-HU"/>
              </w:rPr>
              <w:t>12.1.2 Intézkedési terv</w:t>
            </w:r>
          </w:p>
        </w:tc>
        <w:tc>
          <w:tcPr>
            <w:tcW w:w="3224" w:type="pct"/>
            <w:tcMar>
              <w:top w:w="0" w:type="dxa"/>
              <w:left w:w="70" w:type="dxa"/>
              <w:bottom w:w="0" w:type="dxa"/>
              <w:right w:w="70" w:type="dxa"/>
            </w:tcMar>
            <w:vAlign w:val="center"/>
          </w:tcPr>
          <w:p w:rsidR="00996D99" w:rsidRPr="00D40DC4" w:rsidRDefault="00996D99">
            <w:pPr>
              <w:spacing w:after="0" w:line="252" w:lineRule="auto"/>
              <w:jc w:val="left"/>
              <w:rPr>
                <w:i/>
                <w:iCs/>
                <w:lang w:eastAsia="hu-HU"/>
              </w:rPr>
            </w:pPr>
          </w:p>
        </w:tc>
      </w:tr>
    </w:tbl>
    <w:p w:rsidR="00996D99" w:rsidRPr="00D40DC4" w:rsidRDefault="00996D99" w:rsidP="009B5E74">
      <w:pPr>
        <w:rPr>
          <w:rFonts w:cs="Arial"/>
        </w:rPr>
      </w:pPr>
    </w:p>
    <w:p w:rsidR="009B5E74" w:rsidRPr="00D40DC4" w:rsidRDefault="009B5E74" w:rsidP="00DD7E6C">
      <w:pPr>
        <w:pStyle w:val="Cmsor2"/>
      </w:pPr>
      <w:bookmarkStart w:id="21" w:name="_Toc428260320"/>
      <w:bookmarkStart w:id="22" w:name="_Toc428280282"/>
      <w:bookmarkStart w:id="23" w:name="_Toc428430390"/>
      <w:bookmarkStart w:id="24" w:name="_Toc428431354"/>
      <w:bookmarkStart w:id="25" w:name="_Toc428635926"/>
      <w:bookmarkStart w:id="26" w:name="_Toc428771494"/>
      <w:bookmarkStart w:id="27" w:name="_Toc436923876"/>
      <w:bookmarkEnd w:id="21"/>
      <w:bookmarkEnd w:id="22"/>
      <w:bookmarkEnd w:id="23"/>
      <w:bookmarkEnd w:id="24"/>
      <w:bookmarkEnd w:id="25"/>
      <w:bookmarkEnd w:id="26"/>
      <w:r w:rsidRPr="00D40DC4">
        <w:t>CBA részletezettsége</w:t>
      </w:r>
      <w:bookmarkEnd w:id="27"/>
    </w:p>
    <w:p w:rsidR="009B5E74" w:rsidRPr="00D40DC4" w:rsidRDefault="009B5E74" w:rsidP="009B5E74">
      <w:pPr>
        <w:rPr>
          <w:rFonts w:cs="Arial"/>
        </w:rPr>
      </w:pPr>
      <w:r w:rsidRPr="00D40DC4">
        <w:rPr>
          <w:rFonts w:cs="Arial"/>
        </w:rPr>
        <w:t xml:space="preserve">Konkrét jogszabályi előírás szerint a nagyprojektek esetében a teljes költség-haszon elemzés készítése kötelező. A többi projekttípus esetében a költség-haszon elemzés különböző részletezettséggel végzendő el. A részletezettség az alábbiaktól függ: </w:t>
      </w:r>
    </w:p>
    <w:p w:rsidR="009B5E74" w:rsidRPr="00D40DC4" w:rsidRDefault="009B5E74" w:rsidP="006F2748">
      <w:pPr>
        <w:numPr>
          <w:ilvl w:val="0"/>
          <w:numId w:val="52"/>
        </w:numPr>
      </w:pPr>
      <w:r w:rsidRPr="00D40DC4">
        <w:t>a projekt mérete</w:t>
      </w:r>
    </w:p>
    <w:p w:rsidR="009B5E74" w:rsidRPr="00D40DC4" w:rsidRDefault="009B5E74" w:rsidP="006F2748">
      <w:pPr>
        <w:numPr>
          <w:ilvl w:val="0"/>
          <w:numId w:val="52"/>
        </w:numPr>
      </w:pPr>
      <w:r w:rsidRPr="00D40DC4">
        <w:t>a támogatási szabály</w:t>
      </w:r>
    </w:p>
    <w:p w:rsidR="009B5E74" w:rsidRPr="00D40DC4" w:rsidRDefault="009B5E74" w:rsidP="006F2748">
      <w:pPr>
        <w:numPr>
          <w:ilvl w:val="0"/>
          <w:numId w:val="52"/>
        </w:numPr>
      </w:pPr>
      <w:r w:rsidRPr="00D40DC4">
        <w:t>a támogatás összegének számítás módja</w:t>
      </w:r>
    </w:p>
    <w:p w:rsidR="000C12AC" w:rsidRPr="00D40DC4" w:rsidRDefault="000C12AC" w:rsidP="006F2748">
      <w:pPr>
        <w:numPr>
          <w:ilvl w:val="0"/>
          <w:numId w:val="52"/>
        </w:numPr>
      </w:pPr>
      <w:r w:rsidRPr="00D40DC4">
        <w:t>a projekt támogatható tevékenysége</w:t>
      </w:r>
    </w:p>
    <w:p w:rsidR="009B5E74" w:rsidRPr="00D40DC4" w:rsidRDefault="009B5E74" w:rsidP="009B5E74">
      <w:pPr>
        <w:rPr>
          <w:rFonts w:cs="Arial"/>
        </w:rPr>
      </w:pPr>
    </w:p>
    <w:p w:rsidR="009B5E74" w:rsidRPr="00D40DC4" w:rsidRDefault="009B5E74" w:rsidP="009B5E74">
      <w:pPr>
        <w:rPr>
          <w:rFonts w:cs="Arial"/>
        </w:rPr>
      </w:pPr>
      <w:r w:rsidRPr="00D40DC4">
        <w:t>A projekt mérete</w:t>
      </w:r>
      <w:r w:rsidRPr="00D40DC4">
        <w:rPr>
          <w:rFonts w:cs="Arial"/>
        </w:rPr>
        <w:t xml:space="preserve"> alapján a projektek az alábbi csoportokba sorolhatók (CBA szükségessége szempontjából)</w:t>
      </w:r>
    </w:p>
    <w:p w:rsidR="009B5E74" w:rsidRPr="00D40DC4" w:rsidRDefault="009B5E74" w:rsidP="008E60FC">
      <w:pPr>
        <w:numPr>
          <w:ilvl w:val="0"/>
          <w:numId w:val="1"/>
        </w:numPr>
      </w:pPr>
      <w:r w:rsidRPr="00D40DC4">
        <w:t>Nagyprojektek:</w:t>
      </w:r>
    </w:p>
    <w:p w:rsidR="009B5E74" w:rsidRPr="00D40DC4" w:rsidRDefault="009B5E74" w:rsidP="009B5E74">
      <w:pPr>
        <w:ind w:left="708"/>
        <w:rPr>
          <w:rFonts w:cs="Arial"/>
        </w:rPr>
      </w:pPr>
      <w:r w:rsidRPr="00D40DC4">
        <w:rPr>
          <w:rFonts w:cs="Arial"/>
        </w:rPr>
        <w:t>A Tanács 1303/2013/EU Rendeletének 100. cikke értelmében nagyprojektnek minősül az olyan projekt,</w:t>
      </w:r>
    </w:p>
    <w:p w:rsidR="009B5E74" w:rsidRPr="00D40DC4" w:rsidRDefault="009B5E74" w:rsidP="008E60FC">
      <w:pPr>
        <w:numPr>
          <w:ilvl w:val="1"/>
          <w:numId w:val="1"/>
        </w:numPr>
      </w:pPr>
      <w:r w:rsidRPr="00D40DC4">
        <w:t>amelynek célja valamely pontos gazdasági vagy műszaki természetű oszthatatlan feladat elvégzése,</w:t>
      </w:r>
    </w:p>
    <w:p w:rsidR="009B5E74" w:rsidRPr="00D40DC4" w:rsidRDefault="009B5E74" w:rsidP="008E60FC">
      <w:pPr>
        <w:numPr>
          <w:ilvl w:val="1"/>
          <w:numId w:val="1"/>
        </w:numPr>
      </w:pPr>
      <w:r w:rsidRPr="00D40DC4">
        <w:t xml:space="preserve">amely egyértelműen meghatározott célkitűzésekkel rendelkezik, és </w:t>
      </w:r>
    </w:p>
    <w:p w:rsidR="009B5E74" w:rsidRPr="00D40DC4" w:rsidRDefault="009B5E74" w:rsidP="008E60FC">
      <w:pPr>
        <w:numPr>
          <w:ilvl w:val="1"/>
          <w:numId w:val="1"/>
        </w:numPr>
      </w:pPr>
      <w:r w:rsidRPr="00D40DC4">
        <w:t>amelynek teljes elszámolható költsége meghaladja az 50 millió EUR-t, a 1303/2013/EU 9. cikk első bekezdésének 7. pontjában meghatározott, „a fenntartható közlekedés előmozdítása és szűk keresztmetszetek megszüntetése a kulcsfontosságú hálózati infrastruktúrákban” tematikus célkitűzéshez hozzájáruló műveletek esetében pedig a 75 millió EUR-t.</w:t>
      </w:r>
    </w:p>
    <w:p w:rsidR="009B5E74" w:rsidRPr="00D40DC4" w:rsidRDefault="009B5E74" w:rsidP="008E60FC">
      <w:pPr>
        <w:numPr>
          <w:ilvl w:val="0"/>
          <w:numId w:val="1"/>
        </w:numPr>
      </w:pPr>
      <w:r w:rsidRPr="00D40DC4">
        <w:lastRenderedPageBreak/>
        <w:t>1 millió EUR feletti nem nagyprojektek</w:t>
      </w:r>
    </w:p>
    <w:p w:rsidR="009B5E74" w:rsidRPr="00D40DC4" w:rsidRDefault="009B5E74" w:rsidP="008E60FC">
      <w:pPr>
        <w:numPr>
          <w:ilvl w:val="0"/>
          <w:numId w:val="1"/>
        </w:numPr>
      </w:pPr>
      <w:r w:rsidRPr="00D40DC4">
        <w:t>1 millió EUR alatti nem nagyprojektek</w:t>
      </w:r>
    </w:p>
    <w:p w:rsidR="009B5E74" w:rsidRPr="00D40DC4" w:rsidRDefault="009B5E74" w:rsidP="009B5E74">
      <w:pPr>
        <w:rPr>
          <w:rFonts w:cs="Arial"/>
        </w:rPr>
      </w:pPr>
    </w:p>
    <w:p w:rsidR="009B5E74" w:rsidRPr="00D40DC4" w:rsidRDefault="009B5E74" w:rsidP="009B5E74">
      <w:pPr>
        <w:rPr>
          <w:rFonts w:cs="Arial"/>
        </w:rPr>
      </w:pPr>
      <w:r w:rsidRPr="00D40DC4">
        <w:t>Támogatási szabály</w:t>
      </w:r>
      <w:r w:rsidRPr="00D40DC4">
        <w:rPr>
          <w:rFonts w:cs="Arial"/>
        </w:rPr>
        <w:t xml:space="preserve"> alapján a projektek az alábbi csoportokba sorolhatók (CBA szükségessége szempontjából)</w:t>
      </w:r>
    </w:p>
    <w:p w:rsidR="009B5E74" w:rsidRPr="00D40DC4" w:rsidRDefault="009B5E74" w:rsidP="008E60FC">
      <w:pPr>
        <w:numPr>
          <w:ilvl w:val="0"/>
          <w:numId w:val="1"/>
        </w:numPr>
      </w:pPr>
      <w:r w:rsidRPr="00D40DC4">
        <w:t xml:space="preserve">State aid hatálya alá tartozó (állami támogatásban részesülő) projektek </w:t>
      </w:r>
    </w:p>
    <w:p w:rsidR="009B5E74" w:rsidRPr="00D40DC4" w:rsidRDefault="009B5E74" w:rsidP="009B5E74">
      <w:pPr>
        <w:ind w:left="708"/>
        <w:rPr>
          <w:rFonts w:cs="Arial"/>
        </w:rPr>
      </w:pPr>
      <w:r w:rsidRPr="00D40DC4">
        <w:rPr>
          <w:rFonts w:cs="Arial"/>
        </w:rPr>
        <w:t xml:space="preserve">Az Európai Unió működéséről szóló Szerződés (a továbbiakban: EUMSZ) 107. cikk (1) bekezdése főszabályként megtilt minden olyan támogatást, amely a belső piacon a versenytorzítás lehetőségét jelenti. 107. cikk (1) bekezdés: „Ha a Szerződések másként nem rendelkeznek, a belsős piaccal összeegyeztethetetlen a tagállamok által vagy állami forrásból bármilyen formában nyújtott támogatás, amely bizonyos vállalkozásoknak vagy bizonyos áruk termelésének előnyben részesítése által torzítja a versenyt, vagy azzal fenyeget, amennyiben ez érinti a tagállamok közötti kereskedelmet.” </w:t>
      </w:r>
    </w:p>
    <w:p w:rsidR="009B5E74" w:rsidRPr="00D40DC4" w:rsidRDefault="009B5E74" w:rsidP="009B5E74">
      <w:pPr>
        <w:ind w:left="708"/>
        <w:rPr>
          <w:rFonts w:cs="Arial"/>
        </w:rPr>
      </w:pPr>
      <w:r w:rsidRPr="00D40DC4">
        <w:rPr>
          <w:rFonts w:cs="Arial"/>
        </w:rPr>
        <w:t>Az EUMSZ 107. cikk (1) bekezdése értelmében nem minősülnek állami támogatásnak az olyan intézkedések, amelyek esetében a fenti feltételek közül valamelyik nem teljesül. Egyes támogatásokat a Bizottság a Szerződéssel összeegyeztethetőnek minősít (107. cikk (2) bekezdés- pl. szociális támogatások, természeti csapások esetén nyújtott támogatások), más támogatásokat pedig vizsgálatot követően minősíthet a Bizottság a Szerződéssel összeegyeztethetőnek (107. cikk (3) bekezdés-pl. elmaradott térségek támogatása, közös európai érdeket szolgáló fontos projekt megvalósítása (a BIZOTTSÁG 2014/C 188/02  KÖZLEMÉNYE), egyes gazdasági tevékenységek vagy gazdasági területek fejlődését előmozdító támogatása (651/2014/EU RENDELET), kultúrát és a kulturális örökség megőrzését előmozdító támogatás(733/2013/EU RENDELET)).</w:t>
      </w:r>
    </w:p>
    <w:p w:rsidR="009B5E74" w:rsidRPr="00D40DC4" w:rsidRDefault="009B5E74" w:rsidP="009B5E74">
      <w:pPr>
        <w:ind w:left="708"/>
        <w:rPr>
          <w:rFonts w:cs="Arial"/>
        </w:rPr>
      </w:pPr>
      <w:r w:rsidRPr="00D40DC4">
        <w:rPr>
          <w:rFonts w:cs="Arial"/>
        </w:rPr>
        <w:t xml:space="preserve">A Bizottság meghatároz olyan támogatási formákat, amelyeket összeegyeztethetőnek tart a Szerződésben szereplő általános tilalommal. Ide tartozik többek között az említett támogatási kivételeken túl a de minimis, vagy csekély összegű támogatás (1407/2013/EU RENDELETE), a hátrányos helyzetű és a fogyatékkal élő munkavállalók fogalakoztatásához nyújtott támogatás (a Bizottság 2009/C 188/02 Közleménye), a képzéshez nyújtott támogatások (A Bizottság 2009/C 188/01 közleménye), a mezőgazdasági és halászati támogatások (702/2014/EU RENDELET), a kutatáshoz, fejlesztéshez és innovációhoz nyújtott állami támogatások (A Bizottság 2014/C 198/01 közleménye), stb. </w:t>
      </w:r>
    </w:p>
    <w:p w:rsidR="009B5E74" w:rsidRPr="00D40DC4" w:rsidRDefault="009B5E74" w:rsidP="009B5E74">
      <w:pPr>
        <w:ind w:left="708"/>
        <w:rPr>
          <w:rFonts w:cs="Arial"/>
        </w:rPr>
      </w:pPr>
      <w:r w:rsidRPr="00D40DC4">
        <w:rPr>
          <w:rFonts w:cs="Arial"/>
        </w:rPr>
        <w:t>Külön kivételi kört képeznek az általános gazdasági érdekű szolgáltatások, a közszolgáltatások ellátáshoz nyújtott támogatások (Bizottság 2012/C 8/02 közleménye; a közszolgáltatás ellentételezése formájában nyújtott állami támogatásról szóló európai uniós keretszabály (2012/C 8/03); közszolgáltatás ellentételezése formájában nyújtott állami támogatásra való alkalmazásáról szóló 2012/21/EU határozat; közszolgáltatás de minimis támogatása (360/2012/EU RENDELET); vasúti vállalkozásoknak nyújtott támogatás (Bizottság 2008/C 184/07közleménye)</w:t>
      </w:r>
    </w:p>
    <w:p w:rsidR="009B5E74" w:rsidRPr="00D40DC4" w:rsidRDefault="009B5E74" w:rsidP="008E60FC">
      <w:pPr>
        <w:numPr>
          <w:ilvl w:val="0"/>
          <w:numId w:val="1"/>
        </w:numPr>
      </w:pPr>
      <w:r w:rsidRPr="00D40DC4">
        <w:t xml:space="preserve">Nettó bevételt termelő közcélú projektek: </w:t>
      </w:r>
    </w:p>
    <w:p w:rsidR="009B5E74" w:rsidRPr="00D40DC4" w:rsidRDefault="009B5E74" w:rsidP="009B5E74">
      <w:pPr>
        <w:ind w:left="708"/>
        <w:rPr>
          <w:rFonts w:cs="Arial"/>
        </w:rPr>
      </w:pPr>
      <w:r w:rsidRPr="00D40DC4">
        <w:rPr>
          <w:rFonts w:cs="Arial"/>
        </w:rPr>
        <w:t>Közcélúnak nevezzük a projektet, ha nem tartozik az állami támogatási szabályok alá, hanem alkalmazható rá a Bizottság 1303/2013/EU rendeletének 61. cikke.</w:t>
      </w:r>
    </w:p>
    <w:p w:rsidR="009B5E74" w:rsidRPr="00D40DC4" w:rsidRDefault="009B5E74" w:rsidP="009B5E74">
      <w:pPr>
        <w:ind w:left="708"/>
        <w:rPr>
          <w:rFonts w:cs="Arial"/>
        </w:rPr>
      </w:pPr>
      <w:r w:rsidRPr="00D40DC4">
        <w:rPr>
          <w:rFonts w:cs="Arial"/>
        </w:rPr>
        <w:t xml:space="preserve">Az Európai Parlament és a Bizottság 1303/2013/EU rendelete valamint a Bizottság 480/2014/EU felhatalmazáson alapuló rendelete alapján szükséges meghatározni a projekt nettó bevételét. A nettó bevétel a bevételek, és a működési költségek valamint az adott időszakban a rövid élettartamú felszerelések cseréjére fordított költségek különbözete. </w:t>
      </w:r>
    </w:p>
    <w:p w:rsidR="009B5E74" w:rsidRPr="00D40DC4" w:rsidRDefault="009B5E74" w:rsidP="009B5E74">
      <w:pPr>
        <w:ind w:left="708"/>
        <w:rPr>
          <w:rFonts w:cs="Arial"/>
        </w:rPr>
      </w:pPr>
      <w:r w:rsidRPr="00D40DC4">
        <w:rPr>
          <w:rFonts w:cs="Arial"/>
        </w:rPr>
        <w:t>A projekt következtében megvalósuló működési költség-megtakarításokat úgy kell kezelni, mint a nettó bevételeket, kivéve, ha ezeket a működtetésre irányuló támogatások ugyanilyen mértékű csökkentése ellentételezi.</w:t>
      </w:r>
    </w:p>
    <w:p w:rsidR="009B5E74" w:rsidRPr="00D40DC4" w:rsidRDefault="009B5E74" w:rsidP="009B5E74">
      <w:pPr>
        <w:ind w:left="708"/>
        <w:rPr>
          <w:rFonts w:cs="Arial"/>
        </w:rPr>
      </w:pPr>
      <w:r w:rsidRPr="00D40DC4">
        <w:rPr>
          <w:rFonts w:cs="Arial"/>
        </w:rPr>
        <w:t xml:space="preserve">A jogszabályok alapján bevételnek tekintendő a művelet keretében kínált árukért vagy szolgáltatásokért közvetlenül a felhasználók által fizetett pénzeszköz-beáramlást jelenti, például </w:t>
      </w:r>
    </w:p>
    <w:p w:rsidR="009B5E74" w:rsidRPr="00D40DC4" w:rsidRDefault="009B5E74" w:rsidP="006F2748">
      <w:pPr>
        <w:numPr>
          <w:ilvl w:val="2"/>
          <w:numId w:val="49"/>
        </w:numPr>
      </w:pPr>
      <w:r w:rsidRPr="00D40DC4">
        <w:t>az infrastruktúra használatáért közvetlenül a felhasználókat terhelő díjak</w:t>
      </w:r>
    </w:p>
    <w:p w:rsidR="009B5E74" w:rsidRPr="00D40DC4" w:rsidRDefault="009B5E74" w:rsidP="006F2748">
      <w:pPr>
        <w:numPr>
          <w:ilvl w:val="2"/>
          <w:numId w:val="49"/>
        </w:numPr>
      </w:pPr>
      <w:r w:rsidRPr="00D40DC4">
        <w:lastRenderedPageBreak/>
        <w:t>a föld vagy az épületek eladásából vagy bérbeadásából származó bevételeket vagy</w:t>
      </w:r>
    </w:p>
    <w:p w:rsidR="009B5E74" w:rsidRPr="00D40DC4" w:rsidRDefault="009B5E74" w:rsidP="006F2748">
      <w:pPr>
        <w:numPr>
          <w:ilvl w:val="2"/>
          <w:numId w:val="49"/>
        </w:numPr>
      </w:pPr>
      <w:r w:rsidRPr="00D40DC4">
        <w:t>a szolgáltatásokért kapott ellentételezést</w:t>
      </w:r>
    </w:p>
    <w:p w:rsidR="009B5E74" w:rsidRPr="00D40DC4" w:rsidRDefault="009B5E74" w:rsidP="009B5E74">
      <w:pPr>
        <w:ind w:left="1416"/>
        <w:rPr>
          <w:rFonts w:cs="Arial"/>
        </w:rPr>
      </w:pPr>
      <w:r w:rsidRPr="00D40DC4">
        <w:rPr>
          <w:rFonts w:cs="Arial"/>
        </w:rPr>
        <w:t xml:space="preserve">A bevételek nem tartalmaznak a nemzeti vagy regionális költségvetésekből vagy nemzeti társadalombiztosítási rendszerekből származó transzfereket. A pénzügyi fenntarthatóság vizsgálatakor illetve a túlkompenzáció elkerülését szolgáló számítások keretében azonban szükséges figyelembe venni ezen bevételeket is </w:t>
      </w:r>
    </w:p>
    <w:p w:rsidR="009B5E74" w:rsidRPr="00D40DC4" w:rsidRDefault="009B5E74" w:rsidP="008E60FC">
      <w:pPr>
        <w:numPr>
          <w:ilvl w:val="0"/>
          <w:numId w:val="1"/>
        </w:numPr>
      </w:pPr>
      <w:r w:rsidRPr="00D40DC4">
        <w:t>Nettó bevételt nem termelő közcélú projektek: olyan közcélú projekt, amely nem termel nettó bevételt, azaz a működési kiadásai meghaladják bevételeit.</w:t>
      </w:r>
    </w:p>
    <w:p w:rsidR="009B5E74" w:rsidRPr="00D40DC4" w:rsidRDefault="009B5E74" w:rsidP="009B5E74">
      <w:pPr>
        <w:rPr>
          <w:rFonts w:cs="Arial"/>
        </w:rPr>
      </w:pPr>
    </w:p>
    <w:p w:rsidR="009B5E74" w:rsidRPr="00D40DC4" w:rsidRDefault="009B5E74" w:rsidP="009B5E74">
      <w:pPr>
        <w:rPr>
          <w:rFonts w:cs="Arial"/>
        </w:rPr>
      </w:pPr>
      <w:r w:rsidRPr="00D40DC4">
        <w:t>A támogatás összegének számítási módja</w:t>
      </w:r>
      <w:r w:rsidRPr="00D40DC4">
        <w:rPr>
          <w:rFonts w:cs="Arial"/>
        </w:rPr>
        <w:t xml:space="preserve"> alapján a projektek az alábbi csoportokba sorolhatók (CBA szükségessége szempontjából)</w:t>
      </w:r>
    </w:p>
    <w:p w:rsidR="009B5E74" w:rsidRPr="00D40DC4" w:rsidRDefault="009B5E74" w:rsidP="008E60FC">
      <w:pPr>
        <w:numPr>
          <w:ilvl w:val="0"/>
          <w:numId w:val="1"/>
        </w:numPr>
      </w:pPr>
      <w:r w:rsidRPr="00D40DC4">
        <w:t>Közcélú, nem állami támogatás</w:t>
      </w:r>
    </w:p>
    <w:p w:rsidR="009B5E74" w:rsidRPr="00D40DC4" w:rsidRDefault="009B5E74" w:rsidP="008E60FC">
      <w:pPr>
        <w:numPr>
          <w:ilvl w:val="1"/>
          <w:numId w:val="1"/>
        </w:numPr>
      </w:pPr>
      <w:r w:rsidRPr="00D40DC4">
        <w:t>diszkontált nettó bevétel kiszámítása</w:t>
      </w:r>
      <w:r w:rsidR="00532B8B" w:rsidRPr="00D40DC4">
        <w:t>, azaz a várható költségek és bevételek becslésével</w:t>
      </w:r>
      <w:r w:rsidR="000C5765" w:rsidRPr="00D40DC4">
        <w:t xml:space="preserve"> </w:t>
      </w:r>
    </w:p>
    <w:p w:rsidR="009B5E74" w:rsidRPr="00D40DC4" w:rsidRDefault="009B5E74" w:rsidP="008E60FC">
      <w:pPr>
        <w:numPr>
          <w:ilvl w:val="1"/>
          <w:numId w:val="1"/>
        </w:numPr>
      </w:pPr>
      <w:r w:rsidRPr="00D40DC4">
        <w:t>nettó bevétel százalékban meghatározott átalány</w:t>
      </w:r>
      <w:r w:rsidR="00532B8B" w:rsidRPr="00D40DC4">
        <w:t xml:space="preserve">, </w:t>
      </w:r>
      <w:r w:rsidR="000F7446" w:rsidRPr="00D40DC4">
        <w:t>vagyis</w:t>
      </w:r>
      <w:r w:rsidR="00532B8B" w:rsidRPr="00D40DC4">
        <w:t xml:space="preserve"> a</w:t>
      </w:r>
      <w:r w:rsidR="000F7446" w:rsidRPr="00D40DC4">
        <w:t>z elszámolható költség egy előre meghatározott arányában</w:t>
      </w:r>
    </w:p>
    <w:p w:rsidR="009B5E74" w:rsidRPr="00D40DC4" w:rsidRDefault="009B5E74" w:rsidP="008E60FC">
      <w:pPr>
        <w:numPr>
          <w:ilvl w:val="1"/>
          <w:numId w:val="1"/>
        </w:numPr>
      </w:pPr>
      <w:r w:rsidRPr="00D40DC4">
        <w:t xml:space="preserve">intézkedés szintű átalány a max. </w:t>
      </w:r>
      <w:r w:rsidR="00532B8B" w:rsidRPr="00D40DC4">
        <w:t xml:space="preserve">társfinanszírozási </w:t>
      </w:r>
      <w:r w:rsidRPr="00D40DC4">
        <w:t>arányra</w:t>
      </w:r>
      <w:r w:rsidR="000C5765" w:rsidRPr="00D40DC4">
        <w:t xml:space="preserve"> (intézkedés szinten rögzített, fix társfinanszírozási arány)</w:t>
      </w:r>
    </w:p>
    <w:p w:rsidR="009B5E74" w:rsidRPr="00D40DC4" w:rsidRDefault="009B5E74" w:rsidP="008E60FC">
      <w:pPr>
        <w:numPr>
          <w:ilvl w:val="0"/>
          <w:numId w:val="1"/>
        </w:numPr>
      </w:pPr>
      <w:r w:rsidRPr="00D40DC4">
        <w:t>Állami támogatások:</w:t>
      </w:r>
    </w:p>
    <w:p w:rsidR="009B5E74" w:rsidRPr="00D40DC4" w:rsidRDefault="009B5E74" w:rsidP="008E60FC">
      <w:pPr>
        <w:numPr>
          <w:ilvl w:val="1"/>
          <w:numId w:val="1"/>
        </w:numPr>
      </w:pPr>
      <w:r w:rsidRPr="00D40DC4">
        <w:t>működési eredményt figyelembe vevő állami támogatások: pl.: A kultúrát és a kulturális örökség megőrzését előmozdító támogatás, Helyi infrastruktúra fejlesztés, Sportlétesítményhez és multifunkcionális szabadidős létesítményhez nyújtott támogatás</w:t>
      </w:r>
      <w:r w:rsidR="000C12AC" w:rsidRPr="00D40DC4">
        <w:t xml:space="preserve">, </w:t>
      </w:r>
      <w:r w:rsidRPr="00D40DC4">
        <w:t>Személyszállítási közszolgáltatásért járó ellentételezés</w:t>
      </w:r>
    </w:p>
    <w:p w:rsidR="009B5E74" w:rsidRPr="00D40DC4" w:rsidRDefault="009B5E74" w:rsidP="008E60FC">
      <w:pPr>
        <w:numPr>
          <w:ilvl w:val="1"/>
          <w:numId w:val="1"/>
        </w:numPr>
      </w:pPr>
      <w:r w:rsidRPr="00D40DC4">
        <w:t>működési eredményt figyelembe nem vevő állami támogatások</w:t>
      </w:r>
      <w:r w:rsidR="00E608CF" w:rsidRPr="00D40DC4">
        <w:t>; pl. Regionális beruházási támogatás, Képzési támogatás, Megújuló energia termeléséhez nyújtott beruházási támogatás, Energiahatékonysági intézkedésekhez nyújtott beruházási támogatás</w:t>
      </w:r>
    </w:p>
    <w:p w:rsidR="009B5E74" w:rsidRPr="00D40DC4" w:rsidRDefault="009B5E74" w:rsidP="009B5E74">
      <w:pPr>
        <w:rPr>
          <w:rFonts w:cs="Arial"/>
        </w:rPr>
      </w:pPr>
    </w:p>
    <w:p w:rsidR="009B5E74" w:rsidRPr="00D40DC4" w:rsidRDefault="000C12AC" w:rsidP="009B5E74">
      <w:pPr>
        <w:rPr>
          <w:rFonts w:cs="Arial"/>
        </w:rPr>
      </w:pPr>
      <w:r w:rsidRPr="00D40DC4">
        <w:t xml:space="preserve">A </w:t>
      </w:r>
      <w:r w:rsidRPr="00D40DC4">
        <w:rPr>
          <w:rFonts w:cs="Arial"/>
        </w:rPr>
        <w:t xml:space="preserve">„Tájékoztató költség-haszon elemzés készítéséről” c., az adott operatív programra vonatkozó dokumentum tesz különbséget </w:t>
      </w:r>
      <w:r w:rsidR="009B5E74" w:rsidRPr="00D40DC4">
        <w:rPr>
          <w:rFonts w:cs="Arial"/>
        </w:rPr>
        <w:t xml:space="preserve">a különböző projektjellemzők esetén mely szabályok szerinti, milyen részletezettségű költség-haszon elemzés elvégzése szükséges az EU jogszabályok és útmutatók alapján. </w:t>
      </w:r>
    </w:p>
    <w:p w:rsidR="009B5E74" w:rsidRPr="00D40DC4" w:rsidRDefault="009B5E74" w:rsidP="00DD7E6C">
      <w:pPr>
        <w:pStyle w:val="Cmsor1"/>
      </w:pPr>
      <w:bookmarkStart w:id="28" w:name="_Toc428280284"/>
      <w:bookmarkStart w:id="29" w:name="_Toc428430392"/>
      <w:bookmarkStart w:id="30" w:name="_Toc428431356"/>
      <w:bookmarkStart w:id="31" w:name="_Toc428635936"/>
      <w:bookmarkStart w:id="32" w:name="_Toc428771504"/>
      <w:bookmarkStart w:id="33" w:name="_Toc428280285"/>
      <w:bookmarkStart w:id="34" w:name="_Toc428430393"/>
      <w:bookmarkStart w:id="35" w:name="_Toc428431357"/>
      <w:bookmarkStart w:id="36" w:name="_Toc428635937"/>
      <w:bookmarkStart w:id="37" w:name="_Toc428771505"/>
      <w:bookmarkStart w:id="38" w:name="_Toc238966746"/>
      <w:bookmarkStart w:id="39" w:name="_Toc239887743"/>
      <w:bookmarkStart w:id="40" w:name="_Toc240011889"/>
      <w:bookmarkStart w:id="41" w:name="_Toc240166482"/>
      <w:bookmarkStart w:id="42" w:name="_Toc240166704"/>
      <w:bookmarkStart w:id="43" w:name="_Toc240166926"/>
      <w:bookmarkStart w:id="44" w:name="_Toc240167148"/>
      <w:bookmarkStart w:id="45" w:name="_Toc240167365"/>
      <w:bookmarkStart w:id="46" w:name="_Toc240177770"/>
      <w:bookmarkStart w:id="47" w:name="_Toc240177965"/>
      <w:bookmarkStart w:id="48" w:name="_Toc240227141"/>
      <w:bookmarkStart w:id="49" w:name="_Toc240227368"/>
      <w:bookmarkStart w:id="50" w:name="_Toc240227589"/>
      <w:bookmarkStart w:id="51" w:name="_Toc240231811"/>
      <w:bookmarkStart w:id="52" w:name="_Toc238966748"/>
      <w:bookmarkStart w:id="53" w:name="_Toc239887745"/>
      <w:bookmarkStart w:id="54" w:name="_Toc240011891"/>
      <w:bookmarkStart w:id="55" w:name="_Toc240166484"/>
      <w:bookmarkStart w:id="56" w:name="_Toc240166706"/>
      <w:bookmarkStart w:id="57" w:name="_Toc240166928"/>
      <w:bookmarkStart w:id="58" w:name="_Toc240167150"/>
      <w:bookmarkStart w:id="59" w:name="_Toc240167367"/>
      <w:bookmarkStart w:id="60" w:name="_Toc240177772"/>
      <w:bookmarkStart w:id="61" w:name="_Toc240177967"/>
      <w:bookmarkStart w:id="62" w:name="_Toc240227143"/>
      <w:bookmarkStart w:id="63" w:name="_Toc240227370"/>
      <w:bookmarkStart w:id="64" w:name="_Toc240227591"/>
      <w:bookmarkStart w:id="65" w:name="_Toc240231813"/>
      <w:bookmarkStart w:id="66" w:name="_Toc238966749"/>
      <w:bookmarkStart w:id="67" w:name="_Toc239887746"/>
      <w:bookmarkStart w:id="68" w:name="_Toc240011892"/>
      <w:bookmarkStart w:id="69" w:name="_Toc240166485"/>
      <w:bookmarkStart w:id="70" w:name="_Toc240166707"/>
      <w:bookmarkStart w:id="71" w:name="_Toc240166929"/>
      <w:bookmarkStart w:id="72" w:name="_Toc240167151"/>
      <w:bookmarkStart w:id="73" w:name="_Toc240167368"/>
      <w:bookmarkStart w:id="74" w:name="_Toc240177773"/>
      <w:bookmarkStart w:id="75" w:name="_Toc240177968"/>
      <w:bookmarkStart w:id="76" w:name="_Toc240227144"/>
      <w:bookmarkStart w:id="77" w:name="_Toc240227371"/>
      <w:bookmarkStart w:id="78" w:name="_Toc240227592"/>
      <w:bookmarkStart w:id="79" w:name="_Toc240231814"/>
      <w:bookmarkStart w:id="80" w:name="_Toc170536519"/>
      <w:bookmarkStart w:id="81" w:name="_Toc170570388"/>
      <w:bookmarkStart w:id="82" w:name="_Toc170580418"/>
      <w:bookmarkStart w:id="83" w:name="_Toc240011896"/>
      <w:bookmarkStart w:id="84" w:name="_Toc240166489"/>
      <w:bookmarkStart w:id="85" w:name="_Toc240166711"/>
      <w:bookmarkStart w:id="86" w:name="_Toc240166933"/>
      <w:bookmarkStart w:id="87" w:name="_Toc240167155"/>
      <w:bookmarkStart w:id="88" w:name="_Toc240167372"/>
      <w:bookmarkStart w:id="89" w:name="_Toc240177777"/>
      <w:bookmarkStart w:id="90" w:name="_Toc240177972"/>
      <w:bookmarkStart w:id="91" w:name="_Toc240227148"/>
      <w:bookmarkStart w:id="92" w:name="_Toc240227375"/>
      <w:bookmarkStart w:id="93" w:name="_Toc240227596"/>
      <w:bookmarkStart w:id="94" w:name="_Toc240231818"/>
      <w:bookmarkStart w:id="95" w:name="_Toc240011897"/>
      <w:bookmarkStart w:id="96" w:name="_Toc240166490"/>
      <w:bookmarkStart w:id="97" w:name="_Toc240166712"/>
      <w:bookmarkStart w:id="98" w:name="_Toc240166934"/>
      <w:bookmarkStart w:id="99" w:name="_Toc240167156"/>
      <w:bookmarkStart w:id="100" w:name="_Toc240167373"/>
      <w:bookmarkStart w:id="101" w:name="_Toc240177778"/>
      <w:bookmarkStart w:id="102" w:name="_Toc240177973"/>
      <w:bookmarkStart w:id="103" w:name="_Toc240227149"/>
      <w:bookmarkStart w:id="104" w:name="_Toc240227376"/>
      <w:bookmarkStart w:id="105" w:name="_Toc240227597"/>
      <w:bookmarkStart w:id="106" w:name="_Toc240231819"/>
      <w:bookmarkStart w:id="107" w:name="_Toc240011898"/>
      <w:bookmarkStart w:id="108" w:name="_Toc240166491"/>
      <w:bookmarkStart w:id="109" w:name="_Toc240166713"/>
      <w:bookmarkStart w:id="110" w:name="_Toc240166935"/>
      <w:bookmarkStart w:id="111" w:name="_Toc240167157"/>
      <w:bookmarkStart w:id="112" w:name="_Toc240167374"/>
      <w:bookmarkStart w:id="113" w:name="_Toc240177779"/>
      <w:bookmarkStart w:id="114" w:name="_Toc240177974"/>
      <w:bookmarkStart w:id="115" w:name="_Toc240227150"/>
      <w:bookmarkStart w:id="116" w:name="_Toc240227377"/>
      <w:bookmarkStart w:id="117" w:name="_Toc240227598"/>
      <w:bookmarkStart w:id="118" w:name="_Toc240231820"/>
      <w:bookmarkStart w:id="119" w:name="_Toc240011906"/>
      <w:bookmarkStart w:id="120" w:name="_Toc240166499"/>
      <w:bookmarkStart w:id="121" w:name="_Toc240166721"/>
      <w:bookmarkStart w:id="122" w:name="_Toc240166943"/>
      <w:bookmarkStart w:id="123" w:name="_Toc240167165"/>
      <w:bookmarkStart w:id="124" w:name="_Toc240167382"/>
      <w:bookmarkStart w:id="125" w:name="_Toc240177787"/>
      <w:bookmarkStart w:id="126" w:name="_Toc240177982"/>
      <w:bookmarkStart w:id="127" w:name="_Toc240227158"/>
      <w:bookmarkStart w:id="128" w:name="_Toc240227385"/>
      <w:bookmarkStart w:id="129" w:name="_Toc240227606"/>
      <w:bookmarkStart w:id="130" w:name="_Toc240231828"/>
      <w:bookmarkStart w:id="131" w:name="_Toc240011914"/>
      <w:bookmarkStart w:id="132" w:name="_Toc240166507"/>
      <w:bookmarkStart w:id="133" w:name="_Toc240166729"/>
      <w:bookmarkStart w:id="134" w:name="_Toc240166951"/>
      <w:bookmarkStart w:id="135" w:name="_Toc240167173"/>
      <w:bookmarkStart w:id="136" w:name="_Toc240167390"/>
      <w:bookmarkStart w:id="137" w:name="_Toc240177795"/>
      <w:bookmarkStart w:id="138" w:name="_Toc240177990"/>
      <w:bookmarkStart w:id="139" w:name="_Toc240227166"/>
      <w:bookmarkStart w:id="140" w:name="_Toc240227393"/>
      <w:bookmarkStart w:id="141" w:name="_Toc240227614"/>
      <w:bookmarkStart w:id="142" w:name="_Toc240231836"/>
      <w:bookmarkStart w:id="143" w:name="_Toc240011915"/>
      <w:bookmarkStart w:id="144" w:name="_Toc240166508"/>
      <w:bookmarkStart w:id="145" w:name="_Toc240166730"/>
      <w:bookmarkStart w:id="146" w:name="_Toc240166952"/>
      <w:bookmarkStart w:id="147" w:name="_Toc240167174"/>
      <w:bookmarkStart w:id="148" w:name="_Toc240167391"/>
      <w:bookmarkStart w:id="149" w:name="_Toc240177796"/>
      <w:bookmarkStart w:id="150" w:name="_Toc240177991"/>
      <w:bookmarkStart w:id="151" w:name="_Toc240227167"/>
      <w:bookmarkStart w:id="152" w:name="_Toc240227394"/>
      <w:bookmarkStart w:id="153" w:name="_Toc240227615"/>
      <w:bookmarkStart w:id="154" w:name="_Toc240231837"/>
      <w:bookmarkStart w:id="155" w:name="_Toc240011917"/>
      <w:bookmarkStart w:id="156" w:name="_Toc240166510"/>
      <w:bookmarkStart w:id="157" w:name="_Toc240166732"/>
      <w:bookmarkStart w:id="158" w:name="_Toc240166954"/>
      <w:bookmarkStart w:id="159" w:name="_Toc240167176"/>
      <w:bookmarkStart w:id="160" w:name="_Toc240167393"/>
      <w:bookmarkStart w:id="161" w:name="_Toc240177798"/>
      <w:bookmarkStart w:id="162" w:name="_Toc240177993"/>
      <w:bookmarkStart w:id="163" w:name="_Toc240227169"/>
      <w:bookmarkStart w:id="164" w:name="_Toc240227396"/>
      <w:bookmarkStart w:id="165" w:name="_Toc240227617"/>
      <w:bookmarkStart w:id="166" w:name="_Toc240231839"/>
      <w:bookmarkStart w:id="167" w:name="_Toc240011918"/>
      <w:bookmarkStart w:id="168" w:name="_Toc240166511"/>
      <w:bookmarkStart w:id="169" w:name="_Toc240166733"/>
      <w:bookmarkStart w:id="170" w:name="_Toc240166955"/>
      <w:bookmarkStart w:id="171" w:name="_Toc240167177"/>
      <w:bookmarkStart w:id="172" w:name="_Toc240167394"/>
      <w:bookmarkStart w:id="173" w:name="_Toc240177799"/>
      <w:bookmarkStart w:id="174" w:name="_Toc240177994"/>
      <w:bookmarkStart w:id="175" w:name="_Toc240227170"/>
      <w:bookmarkStart w:id="176" w:name="_Toc240227397"/>
      <w:bookmarkStart w:id="177" w:name="_Toc240227618"/>
      <w:bookmarkStart w:id="178" w:name="_Toc240231840"/>
      <w:bookmarkStart w:id="179" w:name="_Toc177825025"/>
      <w:bookmarkStart w:id="180" w:name="_Toc241657495"/>
      <w:bookmarkStart w:id="181" w:name="_Toc228260726"/>
      <w:bookmarkStart w:id="182" w:name="_Toc436923877"/>
      <w:bookmarkStart w:id="183" w:name="_Toc16327395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D40DC4">
        <w:lastRenderedPageBreak/>
        <w:t>Kiemelt módszertani kérdések</w:t>
      </w:r>
      <w:bookmarkEnd w:id="179"/>
      <w:bookmarkEnd w:id="180"/>
      <w:bookmarkEnd w:id="181"/>
      <w:bookmarkEnd w:id="182"/>
      <w:r w:rsidRPr="00D40DC4">
        <w:t xml:space="preserve"> </w:t>
      </w:r>
      <w:bookmarkEnd w:id="183"/>
    </w:p>
    <w:p w:rsidR="009B5E74" w:rsidRPr="00D40DC4" w:rsidRDefault="00905B20" w:rsidP="00DD7E6C">
      <w:pPr>
        <w:pStyle w:val="Cmsor2"/>
      </w:pPr>
      <w:bookmarkStart w:id="184" w:name="_Toc240011922"/>
      <w:bookmarkStart w:id="185" w:name="_Toc240166515"/>
      <w:bookmarkStart w:id="186" w:name="_Toc240166737"/>
      <w:bookmarkStart w:id="187" w:name="_Toc240166959"/>
      <w:bookmarkStart w:id="188" w:name="_Toc240167181"/>
      <w:bookmarkStart w:id="189" w:name="_Toc240167398"/>
      <w:bookmarkStart w:id="190" w:name="_Toc240177803"/>
      <w:bookmarkStart w:id="191" w:name="_Toc240177998"/>
      <w:bookmarkStart w:id="192" w:name="_Toc240227174"/>
      <w:bookmarkStart w:id="193" w:name="_Toc240227401"/>
      <w:bookmarkStart w:id="194" w:name="_Toc240227622"/>
      <w:bookmarkStart w:id="195" w:name="_Toc240231844"/>
      <w:bookmarkStart w:id="196" w:name="_Toc240011923"/>
      <w:bookmarkStart w:id="197" w:name="_Toc240166516"/>
      <w:bookmarkStart w:id="198" w:name="_Toc240166738"/>
      <w:bookmarkStart w:id="199" w:name="_Toc240166960"/>
      <w:bookmarkStart w:id="200" w:name="_Toc240167182"/>
      <w:bookmarkStart w:id="201" w:name="_Toc240167399"/>
      <w:bookmarkStart w:id="202" w:name="_Toc240177804"/>
      <w:bookmarkStart w:id="203" w:name="_Toc240177999"/>
      <w:bookmarkStart w:id="204" w:name="_Toc240227175"/>
      <w:bookmarkStart w:id="205" w:name="_Toc240227402"/>
      <w:bookmarkStart w:id="206" w:name="_Toc240227623"/>
      <w:bookmarkStart w:id="207" w:name="_Toc240231845"/>
      <w:bookmarkStart w:id="208" w:name="_Toc241657496"/>
      <w:bookmarkStart w:id="209" w:name="_Toc43692387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D40DC4">
        <w:t>Különbözeti</w:t>
      </w:r>
      <w:r w:rsidR="009B5E74" w:rsidRPr="00D40DC4">
        <w:t xml:space="preserve"> módszer</w:t>
      </w:r>
      <w:bookmarkEnd w:id="208"/>
      <w:bookmarkEnd w:id="209"/>
    </w:p>
    <w:p w:rsidR="009B5E74" w:rsidRPr="00D40DC4" w:rsidRDefault="009B5E74" w:rsidP="009B5E74">
      <w:pPr>
        <w:rPr>
          <w:rFonts w:cs="Arial"/>
        </w:rPr>
      </w:pPr>
      <w:r w:rsidRPr="00D40DC4">
        <w:rPr>
          <w:rFonts w:cs="Arial"/>
        </w:rPr>
        <w:t xml:space="preserve">A </w:t>
      </w:r>
      <w:r w:rsidR="00905B20" w:rsidRPr="00D40DC4">
        <w:rPr>
          <w:rFonts w:cs="Arial"/>
        </w:rPr>
        <w:t>különbözeti</w:t>
      </w:r>
      <w:r w:rsidRPr="00D40DC4">
        <w:rPr>
          <w:rFonts w:cs="Arial"/>
        </w:rPr>
        <w:t xml:space="preserve"> módszernek</w:t>
      </w:r>
      <w:r w:rsidR="00905B20" w:rsidRPr="00D40DC4">
        <w:rPr>
          <w:rFonts w:cs="Arial"/>
          <w:vertAlign w:val="superscript"/>
        </w:rPr>
        <w:footnoteReference w:id="2"/>
      </w:r>
      <w:r w:rsidRPr="00D40DC4">
        <w:rPr>
          <w:rFonts w:cs="Arial"/>
          <w:vertAlign w:val="superscript"/>
        </w:rPr>
        <w:t xml:space="preserve"> </w:t>
      </w:r>
      <w:r w:rsidRPr="00D40DC4">
        <w:rPr>
          <w:rFonts w:cs="Arial"/>
        </w:rPr>
        <w:t>alkalmazásához meg kell határozni a projekt nélküli esetet és ezáltal a projekt nélküli eset és a fejlesztés közötti különbözeteket</w:t>
      </w:r>
      <w:r w:rsidRPr="00D40DC4">
        <w:t xml:space="preserve"> </w:t>
      </w:r>
      <w:r w:rsidRPr="00D40DC4">
        <w:rPr>
          <w:rFonts w:cs="Arial"/>
        </w:rPr>
        <w:t>A projekt beruházási, működési költségeit, bevételeit és hatásait a projekt nélküli változathoz viszonyítva kell megállapítani a teljes vizsgált referencia időtávra.</w:t>
      </w:r>
    </w:p>
    <w:p w:rsidR="009B5E74" w:rsidRPr="00D40DC4" w:rsidRDefault="009B5E74" w:rsidP="009B5E74">
      <w:pPr>
        <w:rPr>
          <w:rFonts w:cs="Arial"/>
        </w:rPr>
      </w:pPr>
      <w:r w:rsidRPr="00D40DC4">
        <w:rPr>
          <w:rFonts w:cs="Arial"/>
        </w:rPr>
        <w:t>Lehetnek olyan költségelemek, hatáselemek stb., amelyek esetén csak a fejlesztés és a projekt nélküli eset különbözete becsülhető meg (például a költségcsökkenés mértéke). Ezek esetében lehetséges csupán a különbözet becslése, de a projekt nélküli esetet ekkor is be kell mutatni, továbbá a különbözeti becsléssel érintett elemek esetén a becslési módszer eltérését jelezni kell.</w:t>
      </w:r>
    </w:p>
    <w:p w:rsidR="009B5E74" w:rsidRPr="00D40DC4" w:rsidRDefault="009B5E74" w:rsidP="009B5E74">
      <w:pPr>
        <w:rPr>
          <w:rFonts w:cs="Arial"/>
        </w:rPr>
      </w:pPr>
      <w:r w:rsidRPr="00D40DC4">
        <w:rPr>
          <w:rFonts w:cs="Arial"/>
        </w:rPr>
        <w:t xml:space="preserve">A </w:t>
      </w:r>
      <w:r w:rsidR="00905B20" w:rsidRPr="00D40DC4">
        <w:rPr>
          <w:rFonts w:cs="Arial"/>
        </w:rPr>
        <w:t>különbözeti</w:t>
      </w:r>
      <w:r w:rsidRPr="00D40DC4">
        <w:rPr>
          <w:rFonts w:cs="Arial"/>
        </w:rPr>
        <w:t xml:space="preserve"> módszernek lényege, hogy csak a projekt hatásaira, fenntarthatóságára koncentrál és nem foglalkozik a meglévő állapottal, annak esetleges problémáival sem. </w:t>
      </w:r>
    </w:p>
    <w:p w:rsidR="009B5E74" w:rsidRPr="00D40DC4" w:rsidRDefault="009B5E74" w:rsidP="00DD7E6C">
      <w:pPr>
        <w:pStyle w:val="Cmsor2"/>
      </w:pPr>
      <w:bookmarkStart w:id="210" w:name="_Toc240011925"/>
      <w:bookmarkStart w:id="211" w:name="_Toc240166518"/>
      <w:bookmarkStart w:id="212" w:name="_Toc240166740"/>
      <w:bookmarkStart w:id="213" w:name="_Toc240166962"/>
      <w:bookmarkStart w:id="214" w:name="_Toc240167184"/>
      <w:bookmarkStart w:id="215" w:name="_Toc240167401"/>
      <w:bookmarkStart w:id="216" w:name="_Toc240177806"/>
      <w:bookmarkStart w:id="217" w:name="_Toc240178001"/>
      <w:bookmarkStart w:id="218" w:name="_Toc240227177"/>
      <w:bookmarkStart w:id="219" w:name="_Toc240227404"/>
      <w:bookmarkStart w:id="220" w:name="_Toc240227625"/>
      <w:bookmarkStart w:id="221" w:name="_Toc240231847"/>
      <w:bookmarkStart w:id="222" w:name="_Toc241657497"/>
      <w:bookmarkStart w:id="223" w:name="_Toc436923879"/>
      <w:bookmarkEnd w:id="210"/>
      <w:bookmarkEnd w:id="211"/>
      <w:bookmarkEnd w:id="212"/>
      <w:bookmarkEnd w:id="213"/>
      <w:bookmarkEnd w:id="214"/>
      <w:bookmarkEnd w:id="215"/>
      <w:bookmarkEnd w:id="216"/>
      <w:bookmarkEnd w:id="217"/>
      <w:bookmarkEnd w:id="218"/>
      <w:bookmarkEnd w:id="219"/>
      <w:bookmarkEnd w:id="220"/>
      <w:bookmarkEnd w:id="221"/>
      <w:r w:rsidRPr="00D40DC4">
        <w:t>Projekt nélküli eset</w:t>
      </w:r>
      <w:bookmarkEnd w:id="222"/>
      <w:bookmarkEnd w:id="223"/>
    </w:p>
    <w:p w:rsidR="009B5E74" w:rsidRPr="00D40DC4" w:rsidRDefault="009B5E74" w:rsidP="009B5E74">
      <w:pPr>
        <w:rPr>
          <w:rFonts w:cs="Arial"/>
        </w:rPr>
      </w:pPr>
      <w:r w:rsidRPr="00D40DC4">
        <w:rPr>
          <w:rFonts w:cs="Arial"/>
        </w:rPr>
        <w:t xml:space="preserve">A projekt nélküli eset (vagy forgatókönyv) lényegében az elemzési időtávra vonatkozóan megadott olyan részletes helyzetleírás, amely a projekt elmaradása esetén következne be. Mivel a költség-haszon elemzés kizárólag a pályázatban szereplő projekt hatásait vizsgálja, el kell különíteni azon hatásokat, amelyek a projekt elmaradása esetén is bekövetkeztek volna. Ennek érdekében meg kell határozni azt az esetet, amely bemutatja, mi történne a pályázati projekt elmaradása esetén az elemzési időtávon belül. </w:t>
      </w:r>
    </w:p>
    <w:p w:rsidR="009B5E74" w:rsidRPr="00D40DC4" w:rsidRDefault="009B5E74" w:rsidP="009B5E74">
      <w:pPr>
        <w:rPr>
          <w:rFonts w:cs="Arial"/>
        </w:rPr>
      </w:pPr>
      <w:r w:rsidRPr="00D40DC4">
        <w:rPr>
          <w:rFonts w:cs="Arial"/>
        </w:rPr>
        <w:t xml:space="preserve">A </w:t>
      </w:r>
      <w:r w:rsidR="00905B20" w:rsidRPr="00D40DC4">
        <w:rPr>
          <w:rFonts w:cs="Arial"/>
        </w:rPr>
        <w:t>különbözeti</w:t>
      </w:r>
      <w:r w:rsidRPr="00D40DC4">
        <w:rPr>
          <w:rFonts w:cs="Arial"/>
        </w:rPr>
        <w:t xml:space="preserve"> módszer esetén a költség-haszon elemzés során a projekt beruházási költségéből, üzemeltetési és karbantartási költségéből, valamint bevételéből le kell vonni azon összegeket, amelyek várhatóan a projekt nélküli forgatókönyv esetén is jelentkeznének</w:t>
      </w:r>
    </w:p>
    <w:p w:rsidR="009B5E74" w:rsidRPr="00D40DC4" w:rsidRDefault="009B5E74" w:rsidP="005A76C2">
      <w:pPr>
        <w:pStyle w:val="Cmsor4"/>
      </w:pPr>
      <w:r w:rsidRPr="00D40DC4">
        <w:t>A projekt nélküli eset leírása</w:t>
      </w:r>
    </w:p>
    <w:p w:rsidR="009B5E74" w:rsidRPr="00D40DC4" w:rsidRDefault="009B5E74" w:rsidP="009B5E74">
      <w:pPr>
        <w:rPr>
          <w:rFonts w:cs="Arial"/>
        </w:rPr>
      </w:pPr>
      <w:r w:rsidRPr="00D40DC4">
        <w:rPr>
          <w:rFonts w:cs="Arial"/>
        </w:rPr>
        <w:t>A projekt nélküli eset leírásának a következőkre kell kiterjednie:</w:t>
      </w:r>
    </w:p>
    <w:p w:rsidR="009B5E74" w:rsidRPr="00D40DC4" w:rsidRDefault="009B5E74" w:rsidP="006C5A6D">
      <w:pPr>
        <w:numPr>
          <w:ilvl w:val="0"/>
          <w:numId w:val="5"/>
        </w:numPr>
      </w:pPr>
      <w:r w:rsidRPr="00D40DC4">
        <w:t>a műszaki tartalom rövid megadása;</w:t>
      </w:r>
    </w:p>
    <w:p w:rsidR="0045318F" w:rsidRPr="00D40DC4" w:rsidRDefault="0045318F" w:rsidP="006C5A6D">
      <w:pPr>
        <w:numPr>
          <w:ilvl w:val="0"/>
          <w:numId w:val="5"/>
        </w:numPr>
      </w:pPr>
      <w:r w:rsidRPr="00D40DC4">
        <w:t xml:space="preserve">ha </w:t>
      </w:r>
      <w:r w:rsidR="009B5E74" w:rsidRPr="00D40DC4">
        <w:t>a projekt nélküli esetben is tervezhető beruházás</w:t>
      </w:r>
      <w:r w:rsidRPr="00D40DC4">
        <w:t xml:space="preserve"> (azaz projekt nélkül „minimális eset” feltételezett)</w:t>
      </w:r>
      <w:r w:rsidR="009B5E74" w:rsidRPr="00D40DC4">
        <w:t>, akkor a beruházási költségek becslése</w:t>
      </w:r>
    </w:p>
    <w:p w:rsidR="0045318F" w:rsidRPr="00D40DC4" w:rsidRDefault="0045318F" w:rsidP="006C5A6D">
      <w:pPr>
        <w:numPr>
          <w:ilvl w:val="1"/>
          <w:numId w:val="5"/>
        </w:numPr>
      </w:pPr>
      <w:r w:rsidRPr="00D40DC4">
        <w:t>abban az esetben feltételezhető projekt nélküli beruházás, ha a szolgáltatás jelenlegi színvonala vagy a jogszabályi előírásoknak való megfelelés ezt feltétlenül indokolja</w:t>
      </w:r>
    </w:p>
    <w:p w:rsidR="0045318F" w:rsidRPr="00D40DC4" w:rsidRDefault="0045318F" w:rsidP="006C5A6D">
      <w:pPr>
        <w:numPr>
          <w:ilvl w:val="1"/>
          <w:numId w:val="5"/>
        </w:numPr>
      </w:pPr>
      <w:r w:rsidRPr="00D40DC4">
        <w:t xml:space="preserve">a tervezett beruházásnak mind megvalósíthatónak, mind valószerűnek kell lennie; </w:t>
      </w:r>
      <w:r w:rsidR="009B5E74" w:rsidRPr="00D40DC4">
        <w:t>célszerű feltételezni egy körülbelül olyan volumenű beruházást, amelyet a pályázó rendelkezésére álló önerő, illetve az általa – EU-támogatás nélkül – is megszerezhető költségvetési és egyéb forrás fedezne</w:t>
      </w:r>
      <w:r w:rsidRPr="00D40DC4">
        <w:t>,</w:t>
      </w:r>
    </w:p>
    <w:p w:rsidR="009B5E74" w:rsidRPr="00D40DC4" w:rsidRDefault="0045318F" w:rsidP="006C5A6D">
      <w:pPr>
        <w:numPr>
          <w:ilvl w:val="1"/>
          <w:numId w:val="5"/>
        </w:numPr>
      </w:pPr>
      <w:r w:rsidRPr="00D40DC4">
        <w:t>a tervezett beruházással kapcsolatos járulékos költségek és hasznok becslése</w:t>
      </w:r>
    </w:p>
    <w:p w:rsidR="009B5E74" w:rsidRPr="00D40DC4" w:rsidRDefault="009B5E74" w:rsidP="006C5A6D">
      <w:pPr>
        <w:numPr>
          <w:ilvl w:val="0"/>
          <w:numId w:val="5"/>
        </w:numPr>
      </w:pPr>
      <w:r w:rsidRPr="00D40DC4">
        <w:lastRenderedPageBreak/>
        <w:t>a működési költségek becslése;</w:t>
      </w:r>
    </w:p>
    <w:p w:rsidR="009B5E74" w:rsidRPr="00D40DC4" w:rsidRDefault="009B5E74" w:rsidP="006C5A6D">
      <w:pPr>
        <w:numPr>
          <w:ilvl w:val="0"/>
          <w:numId w:val="5"/>
        </w:numPr>
      </w:pPr>
      <w:r w:rsidRPr="00D40DC4">
        <w:t xml:space="preserve">a bevételek becslése, ha egyáltalán felmerül; </w:t>
      </w:r>
    </w:p>
    <w:p w:rsidR="0045318F" w:rsidRPr="00D40DC4" w:rsidRDefault="0045318F" w:rsidP="006C5A6D">
      <w:pPr>
        <w:numPr>
          <w:ilvl w:val="0"/>
          <w:numId w:val="5"/>
        </w:numPr>
      </w:pPr>
      <w:r w:rsidRPr="00D40DC4">
        <w:t xml:space="preserve">a közgazdasági </w:t>
      </w:r>
      <w:r w:rsidR="009B5E74" w:rsidRPr="00D40DC4">
        <w:t>hatások bemutatása.</w:t>
      </w:r>
    </w:p>
    <w:p w:rsidR="009B5E74" w:rsidRPr="00D40DC4" w:rsidRDefault="0045318F" w:rsidP="00971400">
      <w:r w:rsidRPr="00D40DC4">
        <w:t xml:space="preserve">Amennyiben feltételezhető beruházás a projekt nélküli esetben, akkor az megjelenhet a beruházások és a pótlások között is, a beruházás jellegétől függően – amennyiben a jelenlegi szolgáltatás fenntartása indokolja a </w:t>
      </w:r>
      <w:r w:rsidRPr="00D40DC4">
        <w:rPr>
          <w:i/>
        </w:rPr>
        <w:t>beruházást</w:t>
      </w:r>
      <w:r w:rsidRPr="00D40DC4">
        <w:t>, azaz meglévő eszközök cseréjéről van szó (pl. gépek, berendezések cseréje, de kapacitásbővítés nélkül), akkor a pótlások között kell feltüntetni, azonban ha a kapacitások bővítéséről, a szolgáltatások körének bővítéséről, akkor a beruházások soron kell bemutatni.</w:t>
      </w:r>
    </w:p>
    <w:p w:rsidR="009B5E74" w:rsidRPr="00D40DC4" w:rsidRDefault="009B5E74" w:rsidP="005A76C2">
      <w:pPr>
        <w:pStyle w:val="Cmsor4"/>
      </w:pPr>
      <w:r w:rsidRPr="00D40DC4">
        <w:t>A projekt nélküli eset kiindulópontjai</w:t>
      </w:r>
    </w:p>
    <w:p w:rsidR="009B5E74" w:rsidRPr="00D40DC4" w:rsidRDefault="009B5E74" w:rsidP="009B5E74">
      <w:pPr>
        <w:rPr>
          <w:rFonts w:cs="Arial"/>
        </w:rPr>
      </w:pPr>
      <w:r w:rsidRPr="00D40DC4">
        <w:rPr>
          <w:rFonts w:cs="Arial"/>
        </w:rPr>
        <w:t>Az EU Útmutató alapján a projekt nélküli eset meghatározása különböző kiindulópontok alapján többféle lehet. Az adott projekt esetében a következő kiindulópontok közül lehet választani. A választás indokait, a projekt nélküli eset magyarázatát részletesen be kell mutatni:</w:t>
      </w:r>
    </w:p>
    <w:p w:rsidR="009B5E74" w:rsidRPr="00D40DC4" w:rsidRDefault="009B5E74" w:rsidP="009B5E74">
      <w:pPr>
        <w:rPr>
          <w:rFonts w:cs="Arial"/>
        </w:rPr>
      </w:pPr>
      <w:r w:rsidRPr="00D40DC4">
        <w:rPr>
          <w:rFonts w:cs="Arial"/>
          <w:b/>
          <w:bCs/>
        </w:rPr>
        <w:t>„</w:t>
      </w:r>
      <w:r w:rsidRPr="00D40DC4">
        <w:rPr>
          <w:rFonts w:cs="Arial"/>
          <w:b/>
        </w:rPr>
        <w:t>Normál eset</w:t>
      </w:r>
      <w:r w:rsidRPr="00D40DC4">
        <w:rPr>
          <w:rFonts w:cs="Arial"/>
        </w:rPr>
        <w:t xml:space="preserve">” </w:t>
      </w:r>
      <w:r w:rsidRPr="00D40DC4">
        <w:rPr>
          <w:rFonts w:cs="Arial"/>
          <w:b/>
        </w:rPr>
        <w:t>(business as usual - BAU)</w:t>
      </w:r>
      <w:r w:rsidRPr="00D40DC4">
        <w:rPr>
          <w:rFonts w:cs="Arial"/>
        </w:rPr>
        <w:t>: a szcenárióban biztosított a szolgáltatás jelenlegihez hasonló színvonala, ehhez kapcsolódóan pedig tartalmazza a működéshez szükséges üzemeltetési és fenntartási, illetve esetenként kisebb mértékű pótlási költségeket (illetve adott esetben a megtermelt bevételeket is).</w:t>
      </w:r>
    </w:p>
    <w:p w:rsidR="009B5E74" w:rsidRPr="00D40DC4" w:rsidRDefault="009B5E74" w:rsidP="009B5E74">
      <w:pPr>
        <w:rPr>
          <w:rFonts w:cs="Arial"/>
        </w:rPr>
      </w:pPr>
      <w:r w:rsidRPr="00D40DC4">
        <w:rPr>
          <w:rFonts w:cs="Arial"/>
          <w:b/>
          <w:bCs/>
        </w:rPr>
        <w:t>„Minimális eset” (Do-minimum)</w:t>
      </w:r>
      <w:r w:rsidRPr="00D40DC4">
        <w:rPr>
          <w:rFonts w:cs="Arial"/>
          <w:bCs/>
          <w:szCs w:val="23"/>
          <w:vertAlign w:val="superscript"/>
        </w:rPr>
        <w:footnoteReference w:id="3"/>
      </w:r>
      <w:r w:rsidRPr="00D40DC4">
        <w:rPr>
          <w:rFonts w:cs="Arial"/>
          <w:vertAlign w:val="superscript"/>
        </w:rPr>
        <w:t xml:space="preserve">: </w:t>
      </w:r>
      <w:r w:rsidRPr="00D40DC4">
        <w:rPr>
          <w:rFonts w:cs="Arial"/>
        </w:rPr>
        <w:t>az az eset, amely a szükséges üzemeltetési és karbantartási költségeket, valamint bizonyos minimális beruházási költségeket tartalmaz (amelyek például a súlyos állagromlás megakadályozásához vagy késleltetéséhez, illetve a jogi vagy biztonsági előírások teljesítéséhez szükségesek).</w:t>
      </w:r>
    </w:p>
    <w:p w:rsidR="009B5E74" w:rsidRPr="00D40DC4" w:rsidRDefault="009B5E74" w:rsidP="009B5E74">
      <w:pPr>
        <w:rPr>
          <w:rFonts w:cs="Arial"/>
        </w:rPr>
      </w:pPr>
      <w:r w:rsidRPr="00D40DC4">
        <w:rPr>
          <w:rFonts w:cs="Arial"/>
        </w:rPr>
        <w:t>Hüvelykujjszabályként a „normál eset” alkalmazása javasolt.</w:t>
      </w:r>
    </w:p>
    <w:p w:rsidR="009B5E74" w:rsidRPr="00D40DC4" w:rsidRDefault="009B5E74" w:rsidP="009B5E74">
      <w:pPr>
        <w:rPr>
          <w:rFonts w:cs="Arial"/>
        </w:rPr>
      </w:pPr>
      <w:r w:rsidRPr="00D40DC4">
        <w:rPr>
          <w:rFonts w:cs="Arial"/>
        </w:rPr>
        <w:t>A 2014-2020-as programozási időszakban megszűnt a katasztrófa szcenárió alkalmazásának lehetősége.</w:t>
      </w:r>
    </w:p>
    <w:p w:rsidR="009B5E74" w:rsidRPr="00D40DC4" w:rsidRDefault="009B5E74" w:rsidP="00DD7E6C">
      <w:pPr>
        <w:pStyle w:val="Cmsor2"/>
      </w:pPr>
      <w:bookmarkStart w:id="224" w:name="_Toc427080965"/>
      <w:bookmarkStart w:id="225" w:name="_Toc240227180"/>
      <w:bookmarkStart w:id="226" w:name="_Toc240227407"/>
      <w:bookmarkStart w:id="227" w:name="_Toc240227628"/>
      <w:bookmarkStart w:id="228" w:name="_Toc240231850"/>
      <w:bookmarkStart w:id="229" w:name="_Toc241657499"/>
      <w:bookmarkStart w:id="230" w:name="_Toc436923880"/>
      <w:bookmarkEnd w:id="224"/>
      <w:bookmarkEnd w:id="225"/>
      <w:bookmarkEnd w:id="226"/>
      <w:bookmarkEnd w:id="227"/>
      <w:bookmarkEnd w:id="228"/>
      <w:r w:rsidRPr="00D40DC4">
        <w:t>Az elemzés árszintje</w:t>
      </w:r>
      <w:bookmarkEnd w:id="229"/>
      <w:bookmarkEnd w:id="230"/>
    </w:p>
    <w:p w:rsidR="009B5E74" w:rsidRPr="00D40DC4" w:rsidRDefault="009B5E74" w:rsidP="009B5E74">
      <w:r w:rsidRPr="00D40DC4">
        <w:t>Az</w:t>
      </w:r>
      <w:r w:rsidRPr="00D40DC4">
        <w:rPr>
          <w:bCs/>
        </w:rPr>
        <w:t xml:space="preserve"> elemzéseket változatlan áron, azaz egy adott év árszínvonalán kell végezni</w:t>
      </w:r>
      <w:r w:rsidRPr="00D40DC4">
        <w:t xml:space="preserve"> Az elemzésben meg kell adni, hogy az árak milyen időpontra vonatkoznak.</w:t>
      </w:r>
    </w:p>
    <w:p w:rsidR="009B5E74" w:rsidRPr="00D40DC4" w:rsidRDefault="009B5E74" w:rsidP="00DD7E6C">
      <w:pPr>
        <w:pStyle w:val="Cmsor2"/>
      </w:pPr>
      <w:bookmarkStart w:id="231" w:name="_Toc427080968"/>
      <w:bookmarkStart w:id="232" w:name="_Toc427239395"/>
      <w:bookmarkStart w:id="233" w:name="_Toc427330871"/>
      <w:bookmarkStart w:id="234" w:name="_Toc240011934"/>
      <w:bookmarkStart w:id="235" w:name="_Toc240166527"/>
      <w:bookmarkStart w:id="236" w:name="_Toc240166749"/>
      <w:bookmarkStart w:id="237" w:name="_Toc240166971"/>
      <w:bookmarkStart w:id="238" w:name="_Toc240167188"/>
      <w:bookmarkStart w:id="239" w:name="_Toc240167405"/>
      <w:bookmarkStart w:id="240" w:name="_Toc240177810"/>
      <w:bookmarkStart w:id="241" w:name="_Toc240178005"/>
      <w:bookmarkStart w:id="242" w:name="_Toc240227182"/>
      <w:bookmarkStart w:id="243" w:name="_Toc240227409"/>
      <w:bookmarkStart w:id="244" w:name="_Toc240227630"/>
      <w:bookmarkStart w:id="245" w:name="_Toc240231852"/>
      <w:bookmarkStart w:id="246" w:name="_Toc241657500"/>
      <w:bookmarkStart w:id="247" w:name="_Toc43692388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D40DC4">
        <w:t>Hatásterület lehatárolása</w:t>
      </w:r>
      <w:bookmarkEnd w:id="246"/>
      <w:bookmarkEnd w:id="247"/>
    </w:p>
    <w:p w:rsidR="009B5E74" w:rsidRPr="00D40DC4" w:rsidRDefault="009B5E74" w:rsidP="009B5E74">
      <w:pPr>
        <w:rPr>
          <w:rFonts w:cs="Arial"/>
        </w:rPr>
      </w:pPr>
      <w:r w:rsidRPr="00D40DC4">
        <w:rPr>
          <w:rFonts w:cs="Arial"/>
        </w:rPr>
        <w:t xml:space="preserve">A projekt térbeli hatásterülete az a hely vagy terület, ahol a projektet végrehajtják, illetve ahol ebből eredően a hatását kifejti. A hatásterület lehatárolásánál figyelemmel kell lenni az alkalmazandó módszer követelményeire. </w:t>
      </w:r>
    </w:p>
    <w:p w:rsidR="009B5E74" w:rsidRPr="00D40DC4" w:rsidRDefault="009B5E74" w:rsidP="00DD7E6C">
      <w:pPr>
        <w:pStyle w:val="Cmsor2"/>
      </w:pPr>
      <w:bookmarkStart w:id="248" w:name="_Toc241657501"/>
      <w:bookmarkStart w:id="249" w:name="_Toc436923882"/>
      <w:r w:rsidRPr="00D40DC4">
        <w:t>Ütemezett beruházás</w:t>
      </w:r>
      <w:bookmarkEnd w:id="248"/>
      <w:bookmarkEnd w:id="249"/>
    </w:p>
    <w:p w:rsidR="009B5E74" w:rsidRPr="00D40DC4" w:rsidRDefault="009B5E74" w:rsidP="009B5E74">
      <w:pPr>
        <w:rPr>
          <w:rFonts w:cs="Arial"/>
        </w:rPr>
      </w:pPr>
      <w:r w:rsidRPr="00D40DC4">
        <w:rPr>
          <w:rFonts w:cs="Arial"/>
        </w:rPr>
        <w:t>Ütemezett beruházás: egy szerves egységet képező beruházás önállóan is működőképes elemeinek egymástól eltérő időben történő átadása. Önálló ütemnek az az elem tekinthető, amelyik legalább egy évig üzemel a hozzá közvetlenül kapcsolódó újabb ütem átadása előtt.</w:t>
      </w:r>
    </w:p>
    <w:p w:rsidR="009B5E74" w:rsidRPr="00D40DC4" w:rsidRDefault="009B5E74" w:rsidP="009B5E74">
      <w:pPr>
        <w:rPr>
          <w:rFonts w:cs="Arial"/>
        </w:rPr>
      </w:pPr>
      <w:r w:rsidRPr="00D40DC4">
        <w:rPr>
          <w:rFonts w:cs="Arial"/>
        </w:rPr>
        <w:t xml:space="preserve">Abban az esetben, ha a projekt ütemei több programozási időszakot is érintenek, </w:t>
      </w:r>
      <w:r w:rsidRPr="00D40DC4">
        <w:rPr>
          <w:rFonts w:cs="Arial"/>
          <w:i/>
        </w:rPr>
        <w:t>szakaszolt projektről</w:t>
      </w:r>
      <w:r w:rsidRPr="00D40DC4">
        <w:rPr>
          <w:rFonts w:cs="Arial"/>
        </w:rPr>
        <w:t xml:space="preserve"> van szó. Az egyes szakaszok (ütemek) csak egy programozási periódusba tartozhatnak. A szakaszok önállóan is működőképesek, továbbá a szakasz a rá vonatkozó programozási időszak végére </w:t>
      </w:r>
      <w:r w:rsidRPr="00D40DC4">
        <w:rPr>
          <w:rFonts w:cs="Arial"/>
        </w:rPr>
        <w:lastRenderedPageBreak/>
        <w:t xml:space="preserve">használatra kész kell legyen. Szakaszolt projekteknél a nagyprojekt határát az összes szakaszt együttvéve kell vizsgálni. </w:t>
      </w:r>
    </w:p>
    <w:p w:rsidR="009B5E74" w:rsidRPr="00D40DC4" w:rsidRDefault="009B5E74" w:rsidP="00DD7E6C">
      <w:pPr>
        <w:pStyle w:val="Cmsor2"/>
      </w:pPr>
      <w:bookmarkStart w:id="250" w:name="_Toc241657502"/>
      <w:bookmarkStart w:id="251" w:name="_Toc436923883"/>
      <w:r w:rsidRPr="00D40DC4">
        <w:t>Intézményi kérdések</w:t>
      </w:r>
      <w:bookmarkEnd w:id="250"/>
      <w:bookmarkEnd w:id="251"/>
    </w:p>
    <w:p w:rsidR="009B5E74" w:rsidRPr="00D40DC4" w:rsidRDefault="009B5E74" w:rsidP="009B5E74">
      <w:pPr>
        <w:rPr>
          <w:rFonts w:cs="Arial"/>
        </w:rPr>
      </w:pPr>
      <w:r w:rsidRPr="00D40DC4">
        <w:rPr>
          <w:rFonts w:cs="Arial"/>
        </w:rPr>
        <w:t>Intézményi kérdések részletes vizsgálata a megvalósíthatósági tanulmány elkülönült fejezetében kell, hogy megjelenjen. A költség-haszon elemzés számára ennek keretében tisztázni kell a következőket:</w:t>
      </w:r>
    </w:p>
    <w:p w:rsidR="009B5E74" w:rsidRPr="00D40DC4" w:rsidRDefault="009B5E74" w:rsidP="006C5A6D">
      <w:pPr>
        <w:numPr>
          <w:ilvl w:val="0"/>
          <w:numId w:val="5"/>
        </w:numPr>
      </w:pPr>
      <w:r w:rsidRPr="00D40DC4">
        <w:t xml:space="preserve">A projektek kedvezményezettjét, aki a támogatásra pályázó fél, aki egyben a beruházó is. A projektek kedvezményezettje csak a kiírásban szereplő entitás lehet (pl. </w:t>
      </w:r>
      <w:r w:rsidR="0093466F" w:rsidRPr="00D40DC4">
        <w:t xml:space="preserve">központi költségvetési szerv, </w:t>
      </w:r>
      <w:r w:rsidRPr="00D40DC4">
        <w:t>önkormányzat, önkormányzati társulás, vállalkozás</w:t>
      </w:r>
      <w:r w:rsidR="00B42C29" w:rsidRPr="00D40DC4">
        <w:t>, egyesület, alapítvány</w:t>
      </w:r>
      <w:r w:rsidRPr="00D40DC4">
        <w:t xml:space="preserve"> stb.). </w:t>
      </w:r>
    </w:p>
    <w:p w:rsidR="009B5E74" w:rsidRPr="00D40DC4" w:rsidRDefault="009B5E74" w:rsidP="006C5A6D">
      <w:pPr>
        <w:numPr>
          <w:ilvl w:val="0"/>
          <w:numId w:val="5"/>
        </w:numPr>
      </w:pPr>
      <w:r w:rsidRPr="00D40DC4">
        <w:t>A projektberuházás során létrehozott / beszerzett vagyontárgyak, eszközök a támogatásba részesülő tulajdonába kerülnek. A 1303/2013/EU Rendelet alapján (VII. cím III. Fejezet 71. cikk)</w:t>
      </w:r>
      <w:r w:rsidRPr="00D40DC4">
        <w:rPr>
          <w:vertAlign w:val="superscript"/>
        </w:rPr>
        <w:footnoteReference w:id="4"/>
      </w:r>
      <w:r w:rsidRPr="00D40DC4">
        <w:rPr>
          <w:vertAlign w:val="superscript"/>
        </w:rPr>
        <w:t xml:space="preserve"> </w:t>
      </w:r>
      <w:r w:rsidRPr="00D40DC4">
        <w:t xml:space="preserve">a vagyontárgyakat, eszközöket a projektberuházást követő elidegenítése, hasznosítása korlátozott, továbbá a projekt által nyújtott szolgáltatást legalább 5 évig fenn kell tartani. </w:t>
      </w:r>
    </w:p>
    <w:p w:rsidR="009B5E74" w:rsidRPr="00D40DC4" w:rsidRDefault="009B5E74" w:rsidP="006C5A6D">
      <w:pPr>
        <w:numPr>
          <w:ilvl w:val="0"/>
          <w:numId w:val="5"/>
        </w:numPr>
      </w:pPr>
      <w:r w:rsidRPr="00D40DC4">
        <w:t xml:space="preserve">A projekt beruházással érintett vagyontárgyainak tulajdoni, használati viszonyainak elemzésében részben fel kell tárni, hogy a projekt megvalósítása során milyen megállapodások szükségesek a beruházás lebonyolíthatóságához (pl. szolgalmi jog más tulajdonában álló ingatlanán keresztül történő hozzáférésre stb.) </w:t>
      </w:r>
    </w:p>
    <w:p w:rsidR="009B5E74" w:rsidRPr="00D40DC4" w:rsidRDefault="009B5E74" w:rsidP="006C5A6D">
      <w:pPr>
        <w:numPr>
          <w:ilvl w:val="0"/>
          <w:numId w:val="5"/>
        </w:numPr>
      </w:pPr>
      <w:r w:rsidRPr="00D40DC4">
        <w:t xml:space="preserve">Vállalkozások esetében ki kell zárni a verseny torzítását jelentő támogatásokat a vonatkozó előírások elemzésével, ez különösen akkor fordulhat elő, ha vállalkozás tulajdonában lévő vagyontárgyak fejlesztése is megvalósul. </w:t>
      </w:r>
    </w:p>
    <w:p w:rsidR="003B7152" w:rsidRPr="00D40DC4" w:rsidRDefault="009B5E74" w:rsidP="006C5A6D">
      <w:pPr>
        <w:numPr>
          <w:ilvl w:val="0"/>
          <w:numId w:val="5"/>
        </w:numPr>
      </w:pPr>
      <w:r w:rsidRPr="00D40DC4">
        <w:t>A projektek működtetője és fenntartója lehet maga a kedvezményezett vagy az által megbízott szervezet. Az utóbbi esetben a kedvezményezett (mint tulajdonos és mint a szolgáltatások ellátásáért felelős fél) szerződést köt a működtető-fenntartó szervezettel a szolgáltatás ellátására (például a tulajdonos önkormányzat közszolgáltatási szerződést köt egy vállalkozással).</w:t>
      </w:r>
    </w:p>
    <w:p w:rsidR="003B7152" w:rsidRPr="00D40DC4" w:rsidRDefault="003B7152" w:rsidP="008E60FC">
      <w:r w:rsidRPr="00D40DC4">
        <w:t>A szolgáltatás nyújtásáról szóló szerződés speciális esete a közszolgáltatási szerződés, melynek keretében a közszolgáltató szerződése keretében kötelezett a szolgáltatás elvárt színvonalon történő elvégzésére a lehető legalacsonyabb költségszinten, ezért pedig fedezetlen költségeinek ellentételezésre valamint ésszerű nyereségre jogosult. A közszolgáltatási szerződések keretében ellátott szolgáltatások külön szabályrendszer alá tartoznak.</w:t>
      </w:r>
    </w:p>
    <w:p w:rsidR="009B5E74" w:rsidRPr="00D40DC4" w:rsidRDefault="009B5E74" w:rsidP="008E60FC">
      <w:r w:rsidRPr="00D40DC4">
        <w:t>A szolgáltatásnyújtásról szóló szerződés számos esetben kiegészül egy bérleti, illetve vagyonkezelési szerződéssel, amelynek alapján a tulajdonos a működtető-fenntartó szervezetnek hasznosításba adja a vagyontárgyakat, eszközöket. A bérleti, illetve vagyonkezelési szerződés szabályozza többek között, hogy melyik fél és milyen módon fedezi az eszközpótlás költségeit (például az üzemeltető többek közt az értékcsökkenés értékét is megfizeti a bérleti díjban, amelyet a tulajdonos a megfelelő időpontban az eszközök pótlására fordít).</w:t>
      </w:r>
    </w:p>
    <w:p w:rsidR="009B5E74" w:rsidRPr="00D40DC4" w:rsidRDefault="009B5E74" w:rsidP="00DD7E6C">
      <w:pPr>
        <w:pStyle w:val="Cmsor2"/>
      </w:pPr>
      <w:bookmarkStart w:id="252" w:name="_Toc240227186"/>
      <w:bookmarkStart w:id="253" w:name="_Toc240227413"/>
      <w:bookmarkStart w:id="254" w:name="_Toc240227634"/>
      <w:bookmarkStart w:id="255" w:name="_Toc240231856"/>
      <w:bookmarkStart w:id="256" w:name="_Toc240227194"/>
      <w:bookmarkStart w:id="257" w:name="_Toc240227421"/>
      <w:bookmarkStart w:id="258" w:name="_Toc240227642"/>
      <w:bookmarkStart w:id="259" w:name="_Toc240231864"/>
      <w:bookmarkStart w:id="260" w:name="_Toc240227197"/>
      <w:bookmarkStart w:id="261" w:name="_Toc240227424"/>
      <w:bookmarkStart w:id="262" w:name="_Toc240227645"/>
      <w:bookmarkStart w:id="263" w:name="_Toc240231867"/>
      <w:bookmarkStart w:id="264" w:name="_Toc241657503"/>
      <w:bookmarkStart w:id="265" w:name="_Toc436923884"/>
      <w:bookmarkEnd w:id="252"/>
      <w:bookmarkEnd w:id="253"/>
      <w:bookmarkEnd w:id="254"/>
      <w:bookmarkEnd w:id="255"/>
      <w:bookmarkEnd w:id="256"/>
      <w:bookmarkEnd w:id="257"/>
      <w:bookmarkEnd w:id="258"/>
      <w:bookmarkEnd w:id="259"/>
      <w:bookmarkEnd w:id="260"/>
      <w:bookmarkEnd w:id="261"/>
      <w:bookmarkEnd w:id="262"/>
      <w:bookmarkEnd w:id="263"/>
      <w:r w:rsidRPr="00D40DC4">
        <w:lastRenderedPageBreak/>
        <w:t>Amortizáció kezelése</w:t>
      </w:r>
      <w:bookmarkEnd w:id="264"/>
      <w:bookmarkEnd w:id="265"/>
    </w:p>
    <w:p w:rsidR="009B5E74" w:rsidRPr="00D40DC4" w:rsidRDefault="009B5E74" w:rsidP="009B5E74">
      <w:pPr>
        <w:rPr>
          <w:rFonts w:cs="Arial"/>
        </w:rPr>
      </w:pPr>
      <w:r w:rsidRPr="00D40DC4">
        <w:rPr>
          <w:rFonts w:cs="Arial"/>
        </w:rPr>
        <w:t>A diszkontált cash-flow alapú pénzügyi megtérülési számításoknak az amortizációs költség közvetlenül nem része, mivel az amortizációs költség nem jelent közvetlen készpénzkiadást. A megtérülés és a finanszírozási hiány számításának szempontjából közömbös, hogy az amortizáció elszámolására vonatkozólag milyen számviteli szabályok, módszerek vannak.</w:t>
      </w:r>
    </w:p>
    <w:p w:rsidR="009B5E74" w:rsidRPr="00D40DC4" w:rsidRDefault="009B5E74" w:rsidP="009B5E74">
      <w:pPr>
        <w:rPr>
          <w:rFonts w:cs="Arial"/>
        </w:rPr>
      </w:pPr>
      <w:r w:rsidRPr="00D40DC4">
        <w:rPr>
          <w:rFonts w:cs="Arial"/>
        </w:rPr>
        <w:t xml:space="preserve">A fejlesztéseknek azonban számvitelileg a saját forrásokat tekintve </w:t>
      </w:r>
      <w:r w:rsidR="00296F53" w:rsidRPr="00D40DC4">
        <w:rPr>
          <w:rFonts w:cs="Arial"/>
        </w:rPr>
        <w:t xml:space="preserve">általában </w:t>
      </w:r>
      <w:r w:rsidRPr="00D40DC4">
        <w:rPr>
          <w:rFonts w:cs="Arial"/>
        </w:rPr>
        <w:t xml:space="preserve">a nyereség, illetve a felhalmozott amortizáció a forrása. Ezt a tényt közvetetten a megtérülési számítás is figyelembe veszi, hiszen a folyamatos, adott szolgáltatási színvonalat biztosító működéshez szükséges beruházási pótlások/felújítások (gépek, berendezések cseréje) beépítésre kerülnek a megtérülési számítás alapját képező pénzáramba. </w:t>
      </w:r>
      <w:r w:rsidRPr="00D40DC4">
        <w:rPr>
          <w:rFonts w:cs="Arial"/>
          <w:b/>
        </w:rPr>
        <w:t xml:space="preserve">Ez feltételezi, hogy olyan díjak kerülnek meghatározásra, ami az amortizációs költségként nyilvántartott költségeket – vagy legalább annak egy részét - is magában foglalja, így az évek során felhalmozódik annyi szabad forrás amortizációs ágon, ami a beruházási jellegű pótlásokra fedezetet biztosít nemcsak a vizsgált időszak alatt, hanem azon túl is </w:t>
      </w:r>
      <w:r w:rsidRPr="00D40DC4">
        <w:rPr>
          <w:rFonts w:cs="Arial"/>
        </w:rPr>
        <w:t>(lásd: projekt pénzügyi fenntarthatóságának bemutatása). Ennek a konkrét formája azonban meghatározza az EU támogatás alapját képező finanszírozási hiányt is.</w:t>
      </w:r>
    </w:p>
    <w:p w:rsidR="009B5E74" w:rsidRPr="00D40DC4" w:rsidRDefault="009B5E74" w:rsidP="00DD7E6C">
      <w:pPr>
        <w:pStyle w:val="Cmsor2"/>
      </w:pPr>
      <w:bookmarkStart w:id="266" w:name="_Toc241657504"/>
      <w:bookmarkStart w:id="267" w:name="_Toc436923885"/>
      <w:r w:rsidRPr="00D40DC4">
        <w:t>Konszolidált megközelítés</w:t>
      </w:r>
      <w:bookmarkEnd w:id="266"/>
      <w:bookmarkEnd w:id="267"/>
    </w:p>
    <w:p w:rsidR="009B5E74" w:rsidRPr="00D40DC4" w:rsidRDefault="009B5E74" w:rsidP="009B5E74">
      <w:pPr>
        <w:rPr>
          <w:rFonts w:cs="Arial"/>
        </w:rPr>
      </w:pPr>
      <w:r w:rsidRPr="00D40DC4">
        <w:rPr>
          <w:rFonts w:cs="Arial"/>
        </w:rPr>
        <w:t xml:space="preserve">Az EU </w:t>
      </w:r>
      <w:r w:rsidR="002D58AD" w:rsidRPr="00D40DC4">
        <w:rPr>
          <w:rFonts w:cs="Arial"/>
        </w:rPr>
        <w:t>Útmutató</w:t>
      </w:r>
      <w:r w:rsidRPr="00D40DC4">
        <w:rPr>
          <w:rFonts w:cs="Arial"/>
        </w:rPr>
        <w:t xml:space="preserve"> </w:t>
      </w:r>
      <w:r w:rsidR="002D58AD" w:rsidRPr="00D40DC4">
        <w:rPr>
          <w:rFonts w:cs="Arial"/>
        </w:rPr>
        <w:t>(</w:t>
      </w:r>
      <w:r w:rsidRPr="00D40DC4">
        <w:rPr>
          <w:rFonts w:cs="Arial"/>
        </w:rPr>
        <w:t>2014-2020</w:t>
      </w:r>
      <w:r w:rsidR="002D58AD" w:rsidRPr="00D40DC4">
        <w:rPr>
          <w:rFonts w:cs="Arial"/>
        </w:rPr>
        <w:t>)</w:t>
      </w:r>
      <w:r w:rsidRPr="00D40DC4">
        <w:rPr>
          <w:rFonts w:cs="Arial"/>
        </w:rPr>
        <w:t xml:space="preserve"> alapján a pénzügyi elemzést általánosságban az infrastruktúra tulajdonos szempontjából kell elvégezni (ami különbözhet a szolgáltatás üzemeltetőjétől). </w:t>
      </w:r>
    </w:p>
    <w:p w:rsidR="009B5E74" w:rsidRPr="00D40DC4" w:rsidRDefault="009B5E74" w:rsidP="009B5E74">
      <w:pPr>
        <w:rPr>
          <w:rFonts w:cs="Arial"/>
        </w:rPr>
      </w:pPr>
      <w:r w:rsidRPr="00D40DC4">
        <w:rPr>
          <w:rFonts w:cs="Arial"/>
        </w:rPr>
        <w:t xml:space="preserve">Ha az infrastruktúra tulajdonosa és üzemeltetője eltérő személy, akkor konszolidált elemzés elvégzése szükséges, hogy az infrastruktúra tulajdonos és üzemeltető közti pénzmozgások ne befolyásolják a fejlesztés megtérülési számításait. Ha szükséges, akkor az elemzést először az infrastruktúra tulajdonos és az üzemeltető szempontjából külön-külön, majd konszolidáltan is el kell elvégezni. </w:t>
      </w:r>
    </w:p>
    <w:p w:rsidR="009B5E74" w:rsidRPr="00D40DC4" w:rsidRDefault="009B5E74" w:rsidP="009B5E74">
      <w:pPr>
        <w:rPr>
          <w:rFonts w:cs="Arial"/>
        </w:rPr>
      </w:pPr>
      <w:r w:rsidRPr="00D40DC4">
        <w:rPr>
          <w:rFonts w:cs="Arial"/>
        </w:rPr>
        <w:t>A liberalizált piacoknak köszönhetően gyakran előfordul olyan eset, hogy az infrastruktúrának több üzemeltetője van, így nehézséget jelenthet a konszolidált elemzés elkészítése. Ilyen esetekben az elemzést az EU Útmutatóban (2014-2020) foglaltak szerint a projekt kedvezményezettje szempontjából célszerű elvégezni - legyen az akár az infrastruktúra tulajdonosa vagy üzemeltetője a beruházás típusától függően.</w:t>
      </w:r>
    </w:p>
    <w:p w:rsidR="009B5E74" w:rsidRPr="00D40DC4" w:rsidRDefault="009B5E74" w:rsidP="00DD7E6C">
      <w:pPr>
        <w:pStyle w:val="Cmsor2"/>
      </w:pPr>
      <w:bookmarkStart w:id="268" w:name="_Toc427330877"/>
      <w:bookmarkStart w:id="269" w:name="_Toc241657505"/>
      <w:bookmarkStart w:id="270" w:name="_Ref428258179"/>
      <w:bookmarkStart w:id="271" w:name="_Toc436923886"/>
      <w:bookmarkEnd w:id="268"/>
      <w:r w:rsidRPr="00D40DC4">
        <w:t>Keresletelemzés</w:t>
      </w:r>
      <w:bookmarkEnd w:id="269"/>
      <w:bookmarkEnd w:id="270"/>
      <w:bookmarkEnd w:id="271"/>
    </w:p>
    <w:p w:rsidR="009B5E74" w:rsidRPr="00D40DC4" w:rsidRDefault="009B5E74" w:rsidP="009B5E74">
      <w:r w:rsidRPr="00D40DC4">
        <w:t>A keresletelemzés célja, hogy a projekt megvalósítását a meglévő illetve a jövőben várhatóan felmerülő igényekkel támassza alá – ennek megfelelően szükségszerű, hogy a projekt kapacitása a mindenkori igényekhez jól illeszkedjen. Elterjedt jó gyakorlat, hogy amennyiben létezik hiteles becslés a jövőbeli keresletre vonatkozóan (pl. nemzeti bank, kutatóintézet, statisztikai hivatal stb. vonatkozó publikációja), akkor annak felhasználásával, vagy adott esetben azt alkalmazzák.</w:t>
      </w:r>
    </w:p>
    <w:p w:rsidR="009B5E74" w:rsidRPr="00D40DC4" w:rsidRDefault="009B5E74" w:rsidP="009B5E74">
      <w:r w:rsidRPr="00D40DC4">
        <w:t>Az elemzésének legalább a következőkre kell kiterjednie:</w:t>
      </w:r>
      <w:r w:rsidRPr="00D40DC4">
        <w:rPr>
          <w:vertAlign w:val="superscript"/>
        </w:rPr>
        <w:footnoteReference w:id="5"/>
      </w:r>
    </w:p>
    <w:p w:rsidR="009B5E74" w:rsidRPr="00D40DC4" w:rsidRDefault="009B5E74" w:rsidP="006C5A6D">
      <w:pPr>
        <w:numPr>
          <w:ilvl w:val="0"/>
          <w:numId w:val="5"/>
        </w:numPr>
      </w:pPr>
      <w:r w:rsidRPr="00D40DC4">
        <w:t xml:space="preserve">a meglévő szükségletek, a modellek és tényleges adatok alkalmazásával; </w:t>
      </w:r>
    </w:p>
    <w:p w:rsidR="009B5E74" w:rsidRPr="00D40DC4" w:rsidRDefault="009B5E74" w:rsidP="006C5A6D">
      <w:pPr>
        <w:numPr>
          <w:ilvl w:val="0"/>
          <w:numId w:val="5"/>
        </w:numPr>
      </w:pPr>
      <w:r w:rsidRPr="00D40DC4">
        <w:t xml:space="preserve">várható szükségletek a makrogazdasági és ágazati előrejelzések és a szükségletekkel kapcsolatos rugalmassági becslések a vonatkozó árak, jövedelmek és egyéb meghatározó tényezők tekintetében; </w:t>
      </w:r>
    </w:p>
    <w:p w:rsidR="009B5E74" w:rsidRPr="00D40DC4" w:rsidRDefault="009B5E74" w:rsidP="006C5A6D">
      <w:pPr>
        <w:numPr>
          <w:ilvl w:val="0"/>
          <w:numId w:val="5"/>
        </w:numPr>
      </w:pPr>
      <w:r w:rsidRPr="00D40DC4">
        <w:t xml:space="preserve">kínálati oldali szempontok, beleértve a meglévő kínálat elemzését és a várható (infrastrukturális) fejlesztéseket; </w:t>
      </w:r>
    </w:p>
    <w:p w:rsidR="009B5E74" w:rsidRPr="00D40DC4" w:rsidRDefault="009B5E74" w:rsidP="006C5A6D">
      <w:pPr>
        <w:numPr>
          <w:ilvl w:val="0"/>
          <w:numId w:val="5"/>
        </w:numPr>
      </w:pPr>
      <w:r w:rsidRPr="00D40DC4">
        <w:t>(esetleges) hálózati hatások.</w:t>
      </w:r>
    </w:p>
    <w:p w:rsidR="009B5E74" w:rsidRPr="00D40DC4" w:rsidRDefault="009B5E74" w:rsidP="009B5E74">
      <w:r w:rsidRPr="00D40DC4">
        <w:t>Az elemzés során a projekt céljától függően különféle modellek alkalmazhatók. Ilyen modell lehet például</w:t>
      </w:r>
    </w:p>
    <w:p w:rsidR="009B5E74" w:rsidRPr="00D40DC4" w:rsidRDefault="009B5E74" w:rsidP="006C5A6D">
      <w:pPr>
        <w:numPr>
          <w:ilvl w:val="0"/>
          <w:numId w:val="5"/>
        </w:numPr>
      </w:pPr>
      <w:r w:rsidRPr="00D40DC4">
        <w:t>többváltozós regresszió</w:t>
      </w:r>
    </w:p>
    <w:p w:rsidR="009B5E74" w:rsidRPr="00D40DC4" w:rsidRDefault="009B5E74" w:rsidP="006C5A6D">
      <w:pPr>
        <w:numPr>
          <w:ilvl w:val="0"/>
          <w:numId w:val="5"/>
        </w:numPr>
      </w:pPr>
      <w:r w:rsidRPr="00D40DC4">
        <w:lastRenderedPageBreak/>
        <w:t>trend extrapoláció</w:t>
      </w:r>
    </w:p>
    <w:p w:rsidR="009B5E74" w:rsidRPr="00D40DC4" w:rsidRDefault="009B5E74" w:rsidP="006C5A6D">
      <w:pPr>
        <w:numPr>
          <w:ilvl w:val="0"/>
          <w:numId w:val="5"/>
        </w:numPr>
      </w:pPr>
      <w:r w:rsidRPr="00D40DC4">
        <w:t>szakértői konzultációk.</w:t>
      </w:r>
    </w:p>
    <w:p w:rsidR="009B5E74" w:rsidRPr="00D40DC4" w:rsidRDefault="009B5E74" w:rsidP="009B5E74">
      <w:r w:rsidRPr="00D40DC4">
        <w:t>Hálózati hatásokkal főként a közlekedési, energetikai valamint az IKT illetve telekommunikációs projektek esetén kell számolni, ugyanis esetükben a fejlesztés iránti igényt (és ezáltal a pénzügyi- és közgazdasági teljesítménymutatókat) jelentősen befolyásolhatja a kölcsönös függőség (a létesítmények lehetnek egymást kizáróak illetve kiegészítőek) és elérhetőség.</w:t>
      </w:r>
      <w:r w:rsidRPr="00D40DC4">
        <w:rPr>
          <w:vertAlign w:val="superscript"/>
        </w:rPr>
        <w:footnoteReference w:id="6"/>
      </w:r>
    </w:p>
    <w:p w:rsidR="009B5E74" w:rsidRPr="00D40DC4" w:rsidRDefault="009B5E74" w:rsidP="009B5E74">
      <w:r w:rsidRPr="00D40DC4">
        <w:t>Az MT minőségvizsgálatának jogszabályban rögzített szempontja, hogy a keresleti becslések reálisak-e, illetve követik-e a várható tendenciákat.</w:t>
      </w:r>
      <w:r w:rsidRPr="00D40DC4">
        <w:rPr>
          <w:vertAlign w:val="superscript"/>
        </w:rPr>
        <w:footnoteReference w:id="7"/>
      </w:r>
    </w:p>
    <w:p w:rsidR="009B5E74" w:rsidRPr="00D40DC4" w:rsidRDefault="009B5E74" w:rsidP="00DD7E6C">
      <w:pPr>
        <w:pStyle w:val="Cmsor2"/>
      </w:pPr>
      <w:bookmarkStart w:id="272" w:name="_Toc427239402"/>
      <w:bookmarkStart w:id="273" w:name="_Toc427330879"/>
      <w:bookmarkStart w:id="274" w:name="_Toc427239403"/>
      <w:bookmarkStart w:id="275" w:name="_Toc427330880"/>
      <w:bookmarkStart w:id="276" w:name="_Toc427239404"/>
      <w:bookmarkStart w:id="277" w:name="_Toc427330881"/>
      <w:bookmarkStart w:id="278" w:name="_Toc427239405"/>
      <w:bookmarkStart w:id="279" w:name="_Toc427330882"/>
      <w:bookmarkStart w:id="280" w:name="_Toc427239406"/>
      <w:bookmarkStart w:id="281" w:name="_Toc427330883"/>
      <w:bookmarkStart w:id="282" w:name="_Toc427239407"/>
      <w:bookmarkStart w:id="283" w:name="_Toc427330884"/>
      <w:bookmarkStart w:id="284" w:name="_Toc427239408"/>
      <w:bookmarkStart w:id="285" w:name="_Toc427330885"/>
      <w:bookmarkStart w:id="286" w:name="_Toc427239409"/>
      <w:bookmarkStart w:id="287" w:name="_Toc427330886"/>
      <w:bookmarkStart w:id="288" w:name="_Toc427239410"/>
      <w:bookmarkStart w:id="289" w:name="_Toc427330887"/>
      <w:bookmarkStart w:id="290" w:name="_Toc427239411"/>
      <w:bookmarkStart w:id="291" w:name="_Toc427330888"/>
      <w:bookmarkStart w:id="292" w:name="_Toc427239412"/>
      <w:bookmarkStart w:id="293" w:name="_Toc427330889"/>
      <w:bookmarkStart w:id="294" w:name="_Toc427239413"/>
      <w:bookmarkStart w:id="295" w:name="_Toc427330890"/>
      <w:bookmarkStart w:id="296" w:name="_Toc427239414"/>
      <w:bookmarkStart w:id="297" w:name="_Toc427330891"/>
      <w:bookmarkStart w:id="298" w:name="_Toc427239415"/>
      <w:bookmarkStart w:id="299" w:name="_Toc427330892"/>
      <w:bookmarkStart w:id="300" w:name="_Toc427239416"/>
      <w:bookmarkStart w:id="301" w:name="_Toc427330893"/>
      <w:bookmarkStart w:id="302" w:name="_Toc427239417"/>
      <w:bookmarkStart w:id="303" w:name="_Toc427330894"/>
      <w:bookmarkStart w:id="304" w:name="_Toc427239418"/>
      <w:bookmarkStart w:id="305" w:name="_Toc427330895"/>
      <w:bookmarkStart w:id="306" w:name="_Toc427239419"/>
      <w:bookmarkStart w:id="307" w:name="_Toc427330896"/>
      <w:bookmarkStart w:id="308" w:name="_Toc427239420"/>
      <w:bookmarkStart w:id="309" w:name="_Toc427330897"/>
      <w:bookmarkStart w:id="310" w:name="_Toc238966753"/>
      <w:bookmarkStart w:id="311" w:name="_Toc239887750"/>
      <w:bookmarkStart w:id="312" w:name="_Toc240011941"/>
      <w:bookmarkStart w:id="313" w:name="_Toc240166534"/>
      <w:bookmarkStart w:id="314" w:name="_Toc240166756"/>
      <w:bookmarkStart w:id="315" w:name="_Toc240166978"/>
      <w:bookmarkStart w:id="316" w:name="_Toc240167195"/>
      <w:bookmarkStart w:id="317" w:name="_Toc240167412"/>
      <w:bookmarkStart w:id="318" w:name="_Toc240177817"/>
      <w:bookmarkStart w:id="319" w:name="_Toc240178012"/>
      <w:bookmarkStart w:id="320" w:name="_Toc240227201"/>
      <w:bookmarkStart w:id="321" w:name="_Toc240227428"/>
      <w:bookmarkStart w:id="322" w:name="_Toc240227649"/>
      <w:bookmarkStart w:id="323" w:name="_Toc240231871"/>
      <w:bookmarkStart w:id="324" w:name="_Toc223856877"/>
      <w:bookmarkStart w:id="325" w:name="_Toc223877237"/>
      <w:bookmarkStart w:id="326" w:name="_Toc241657506"/>
      <w:bookmarkStart w:id="327" w:name="_Toc228260727"/>
      <w:bookmarkStart w:id="328" w:name="_Ref428349924"/>
      <w:bookmarkStart w:id="329" w:name="_Toc43692388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D40DC4">
        <w:t>Költség-haszon elemzés paraméterei</w:t>
      </w:r>
      <w:bookmarkEnd w:id="326"/>
      <w:bookmarkEnd w:id="327"/>
      <w:bookmarkEnd w:id="328"/>
      <w:bookmarkEnd w:id="329"/>
    </w:p>
    <w:p w:rsidR="009B5E74" w:rsidRPr="00D40DC4" w:rsidRDefault="009B5E74" w:rsidP="005A76C2">
      <w:pPr>
        <w:pStyle w:val="Cmsor4"/>
      </w:pPr>
      <w:r w:rsidRPr="00D40DC4">
        <w:t>Árfolyam</w:t>
      </w:r>
    </w:p>
    <w:p w:rsidR="009B5E74" w:rsidRPr="00D40DC4" w:rsidRDefault="009B5E74" w:rsidP="009B5E74">
      <w:pPr>
        <w:rPr>
          <w:rFonts w:cs="Arial"/>
        </w:rPr>
      </w:pPr>
      <w:r w:rsidRPr="00D40DC4">
        <w:rPr>
          <w:rFonts w:cs="Arial"/>
        </w:rPr>
        <w:t>Az elemzés adatait forintban kell megadni. A projektméret euróban meghatározott átszámításához, valamint nagyprojektek esetén a támogatási kérelemben meghatározott értékek átszámításhoz a Nemzetgazdasági Minisztérium (NGM) által meghatározott költségvetési tervezési árfolyamot (jelen dokumentum írásakor 310,1Ft) kell alkalmazni. Az aktuális tervezési árfolyamot a</w:t>
      </w:r>
      <w:r w:rsidRPr="00D40DC4">
        <w:t xml:space="preserve"> </w:t>
      </w:r>
      <w:hyperlink r:id="rId16" w:history="1">
        <w:r w:rsidRPr="00D40DC4">
          <w:rPr>
            <w:rFonts w:cs="Arial"/>
          </w:rPr>
          <w:t>http://palyazat.gov.hu</w:t>
        </w:r>
      </w:hyperlink>
      <w:r w:rsidRPr="00D40DC4">
        <w:rPr>
          <w:rFonts w:cs="Arial"/>
        </w:rPr>
        <w:t xml:space="preserve"> oldalon lehet elérni, melyet indokolt esetben a Miniszterelnökség frissít.</w:t>
      </w:r>
    </w:p>
    <w:p w:rsidR="009B5E74" w:rsidRPr="00D40DC4" w:rsidRDefault="009B5E74" w:rsidP="005A76C2">
      <w:pPr>
        <w:pStyle w:val="Cmsor4"/>
      </w:pPr>
      <w:r w:rsidRPr="00D40DC4">
        <w:t>Infláció</w:t>
      </w:r>
    </w:p>
    <w:p w:rsidR="009B5E74" w:rsidRPr="00D40DC4" w:rsidRDefault="009B5E74" w:rsidP="009B5E74">
      <w:pPr>
        <w:rPr>
          <w:rFonts w:cs="Arial"/>
        </w:rPr>
      </w:pPr>
      <w:r w:rsidRPr="00D40DC4">
        <w:rPr>
          <w:rFonts w:cs="Arial"/>
        </w:rPr>
        <w:t xml:space="preserve">A projekt elemzés során általában változatlan áron (inflációval kiigazított, a kiinduló évhez rögzített ár) kell számolni. Azonban a pénzügyi áramok elemzése során, ha az elemzés változatlan árakon történik, és az inflációs előrejelzések alapján a relatív árak változása jelentős, akkor a relatív árak korrekciója szükséges. A Pénzügyminisztérium hivatalos állásfoglalása alapján az infláció az alábbiak szerint alakul: </w:t>
      </w:r>
    </w:p>
    <w:p w:rsidR="009B5E74" w:rsidRPr="00D40DC4" w:rsidRDefault="002C4DE0" w:rsidP="002314F2">
      <w:pPr>
        <w:pStyle w:val="Tblzat"/>
      </w:pPr>
      <w:r>
        <w:fldChar w:fldCharType="begin"/>
      </w:r>
      <w:r>
        <w:instrText xml:space="preserve"> SEQ táblázat \* ARABIC </w:instrText>
      </w:r>
      <w:r>
        <w:fldChar w:fldCharType="separate"/>
      </w:r>
      <w:bookmarkStart w:id="330" w:name="_Toc436923935"/>
      <w:r w:rsidR="007B4938" w:rsidRPr="00D40DC4">
        <w:rPr>
          <w:noProof/>
        </w:rPr>
        <w:t>2</w:t>
      </w:r>
      <w:r>
        <w:rPr>
          <w:noProof/>
        </w:rPr>
        <w:fldChar w:fldCharType="end"/>
      </w:r>
      <w:r w:rsidR="009B5E74" w:rsidRPr="00D40DC4">
        <w:t>. táblázat: Fogyasztói árszínvonal változása (éves átlag, előző évhez képest):</w:t>
      </w:r>
      <w:bookmarkEnd w:id="330"/>
    </w:p>
    <w:tbl>
      <w:tblPr>
        <w:tblW w:w="7376" w:type="dxa"/>
        <w:tblInd w:w="65" w:type="dxa"/>
        <w:tblLayout w:type="fixed"/>
        <w:tblCellMar>
          <w:left w:w="70" w:type="dxa"/>
          <w:right w:w="70" w:type="dxa"/>
        </w:tblCellMar>
        <w:tblLook w:val="0000" w:firstRow="0" w:lastRow="0" w:firstColumn="0" w:lastColumn="0" w:noHBand="0" w:noVBand="0"/>
      </w:tblPr>
      <w:tblGrid>
        <w:gridCol w:w="3124"/>
        <w:gridCol w:w="1417"/>
        <w:gridCol w:w="1418"/>
        <w:gridCol w:w="1417"/>
      </w:tblGrid>
      <w:tr w:rsidR="009B5E74" w:rsidRPr="00D40DC4" w:rsidTr="00670C1D">
        <w:trPr>
          <w:trHeight w:val="255"/>
        </w:trPr>
        <w:tc>
          <w:tcPr>
            <w:tcW w:w="3124"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9B5E74" w:rsidRPr="00D40DC4" w:rsidRDefault="009B5E74" w:rsidP="00670C1D">
            <w:pPr>
              <w:spacing w:after="0"/>
              <w:jc w:val="center"/>
              <w:rPr>
                <w:rFonts w:cs="Arial"/>
                <w:b/>
                <w:szCs w:val="20"/>
              </w:rPr>
            </w:pPr>
          </w:p>
        </w:tc>
        <w:tc>
          <w:tcPr>
            <w:tcW w:w="1417" w:type="dxa"/>
            <w:tcBorders>
              <w:top w:val="single" w:sz="4" w:space="0" w:color="auto"/>
              <w:left w:val="nil"/>
              <w:bottom w:val="single" w:sz="4" w:space="0" w:color="auto"/>
              <w:right w:val="single" w:sz="4" w:space="0" w:color="auto"/>
            </w:tcBorders>
            <w:shd w:val="clear" w:color="auto" w:fill="99CCFF"/>
            <w:noWrap/>
            <w:vAlign w:val="bottom"/>
          </w:tcPr>
          <w:p w:rsidR="009B5E74" w:rsidRPr="00D40DC4" w:rsidRDefault="009B5E74" w:rsidP="00670C1D">
            <w:pPr>
              <w:spacing w:after="0"/>
              <w:jc w:val="center"/>
              <w:rPr>
                <w:rFonts w:cs="Arial"/>
                <w:b/>
                <w:szCs w:val="20"/>
              </w:rPr>
            </w:pPr>
            <w:r w:rsidRPr="00D40DC4">
              <w:rPr>
                <w:rFonts w:cs="Arial"/>
                <w:b/>
                <w:szCs w:val="20"/>
              </w:rPr>
              <w:t>2014</w:t>
            </w:r>
          </w:p>
        </w:tc>
        <w:tc>
          <w:tcPr>
            <w:tcW w:w="1418" w:type="dxa"/>
            <w:tcBorders>
              <w:top w:val="single" w:sz="4" w:space="0" w:color="auto"/>
              <w:left w:val="nil"/>
              <w:bottom w:val="single" w:sz="4" w:space="0" w:color="auto"/>
              <w:right w:val="single" w:sz="4" w:space="0" w:color="auto"/>
            </w:tcBorders>
            <w:shd w:val="clear" w:color="auto" w:fill="99CCFF"/>
            <w:noWrap/>
            <w:vAlign w:val="bottom"/>
          </w:tcPr>
          <w:p w:rsidR="009B5E74" w:rsidRPr="00D40DC4" w:rsidRDefault="009B5E74" w:rsidP="00670C1D">
            <w:pPr>
              <w:spacing w:after="0"/>
              <w:jc w:val="center"/>
              <w:rPr>
                <w:rFonts w:cs="Arial"/>
                <w:b/>
                <w:szCs w:val="20"/>
              </w:rPr>
            </w:pPr>
            <w:r w:rsidRPr="00D40DC4">
              <w:rPr>
                <w:rFonts w:cs="Arial"/>
                <w:b/>
                <w:szCs w:val="20"/>
              </w:rPr>
              <w:t>2015</w:t>
            </w:r>
          </w:p>
        </w:tc>
        <w:tc>
          <w:tcPr>
            <w:tcW w:w="1417" w:type="dxa"/>
            <w:tcBorders>
              <w:top w:val="single" w:sz="4" w:space="0" w:color="auto"/>
              <w:left w:val="nil"/>
              <w:bottom w:val="single" w:sz="4" w:space="0" w:color="auto"/>
              <w:right w:val="single" w:sz="4" w:space="0" w:color="auto"/>
            </w:tcBorders>
            <w:shd w:val="clear" w:color="auto" w:fill="99CCFF"/>
            <w:noWrap/>
            <w:vAlign w:val="bottom"/>
          </w:tcPr>
          <w:p w:rsidR="009B5E74" w:rsidRPr="00D40DC4" w:rsidRDefault="009B5E74" w:rsidP="00670C1D">
            <w:pPr>
              <w:spacing w:after="0"/>
              <w:jc w:val="center"/>
              <w:rPr>
                <w:rFonts w:cs="Arial"/>
                <w:b/>
                <w:szCs w:val="20"/>
              </w:rPr>
            </w:pPr>
            <w:r w:rsidRPr="00D40DC4">
              <w:rPr>
                <w:rFonts w:cs="Arial"/>
                <w:b/>
                <w:szCs w:val="20"/>
              </w:rPr>
              <w:t>2016</w:t>
            </w:r>
          </w:p>
        </w:tc>
      </w:tr>
      <w:tr w:rsidR="009B5E74" w:rsidRPr="00D40DC4" w:rsidTr="00670C1D">
        <w:trPr>
          <w:trHeight w:val="339"/>
        </w:trPr>
        <w:tc>
          <w:tcPr>
            <w:tcW w:w="3124" w:type="dxa"/>
            <w:tcBorders>
              <w:top w:val="nil"/>
              <w:left w:val="single" w:sz="4" w:space="0" w:color="auto"/>
              <w:bottom w:val="single" w:sz="4" w:space="0" w:color="auto"/>
              <w:right w:val="single" w:sz="4" w:space="0" w:color="auto"/>
            </w:tcBorders>
            <w:shd w:val="clear" w:color="auto" w:fill="auto"/>
            <w:vAlign w:val="center"/>
          </w:tcPr>
          <w:p w:rsidR="009B5E74" w:rsidRPr="00D40DC4" w:rsidRDefault="009B5E74" w:rsidP="00670C1D">
            <w:pPr>
              <w:spacing w:after="0"/>
              <w:rPr>
                <w:rFonts w:cs="Arial"/>
                <w:szCs w:val="20"/>
              </w:rPr>
            </w:pPr>
            <w:r w:rsidRPr="00D40DC4">
              <w:rPr>
                <w:rFonts w:cs="Arial"/>
                <w:szCs w:val="20"/>
              </w:rPr>
              <w:t>Infláció</w:t>
            </w:r>
          </w:p>
        </w:tc>
        <w:tc>
          <w:tcPr>
            <w:tcW w:w="1417" w:type="dxa"/>
            <w:tcBorders>
              <w:top w:val="nil"/>
              <w:left w:val="nil"/>
              <w:bottom w:val="single" w:sz="4" w:space="0" w:color="auto"/>
              <w:right w:val="single" w:sz="4" w:space="0" w:color="auto"/>
            </w:tcBorders>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-0,2 %</w:t>
            </w:r>
          </w:p>
        </w:tc>
        <w:tc>
          <w:tcPr>
            <w:tcW w:w="1418" w:type="dxa"/>
            <w:tcBorders>
              <w:top w:val="nil"/>
              <w:left w:val="nil"/>
              <w:bottom w:val="single" w:sz="4" w:space="0" w:color="auto"/>
              <w:right w:val="single" w:sz="4" w:space="0" w:color="auto"/>
            </w:tcBorders>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0,3 %</w:t>
            </w:r>
          </w:p>
        </w:tc>
        <w:tc>
          <w:tcPr>
            <w:tcW w:w="1417" w:type="dxa"/>
            <w:tcBorders>
              <w:top w:val="nil"/>
              <w:left w:val="nil"/>
              <w:bottom w:val="single" w:sz="4" w:space="0" w:color="auto"/>
              <w:right w:val="single" w:sz="4" w:space="0" w:color="auto"/>
            </w:tcBorders>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2,4 %</w:t>
            </w:r>
          </w:p>
        </w:tc>
      </w:tr>
    </w:tbl>
    <w:p w:rsidR="009B5E74" w:rsidRPr="00D40DC4" w:rsidRDefault="009B5E74" w:rsidP="009B5E74">
      <w:pPr>
        <w:rPr>
          <w:rFonts w:cs="Arial"/>
        </w:rPr>
      </w:pPr>
      <w:r w:rsidRPr="00D40DC4">
        <w:rPr>
          <w:rFonts w:cs="Arial"/>
        </w:rPr>
        <w:t xml:space="preserve">Forrás: </w:t>
      </w:r>
      <w:r w:rsidR="00E27365" w:rsidRPr="00D40DC4">
        <w:rPr>
          <w:rFonts w:cs="Arial"/>
        </w:rPr>
        <w:t>MNB Inflációs jelentés</w:t>
      </w:r>
    </w:p>
    <w:p w:rsidR="009B5E74" w:rsidRPr="00D40DC4" w:rsidRDefault="009B5E74" w:rsidP="005A76C2">
      <w:pPr>
        <w:pStyle w:val="Cmsor4"/>
      </w:pPr>
      <w:r w:rsidRPr="00D40DC4">
        <w:t>GDP</w:t>
      </w:r>
    </w:p>
    <w:p w:rsidR="009B5E74" w:rsidRPr="00D40DC4" w:rsidRDefault="002C4DE0" w:rsidP="002314F2">
      <w:pPr>
        <w:pStyle w:val="Tblzat"/>
      </w:pPr>
      <w:r>
        <w:fldChar w:fldCharType="begin"/>
      </w:r>
      <w:r>
        <w:instrText xml:space="preserve"> SEQ táblázat \* ARABIC </w:instrText>
      </w:r>
      <w:r>
        <w:fldChar w:fldCharType="separate"/>
      </w:r>
      <w:bookmarkStart w:id="331" w:name="_Toc436923936"/>
      <w:r w:rsidR="007B4938" w:rsidRPr="00D40DC4">
        <w:rPr>
          <w:noProof/>
        </w:rPr>
        <w:t>3</w:t>
      </w:r>
      <w:r>
        <w:rPr>
          <w:noProof/>
        </w:rPr>
        <w:fldChar w:fldCharType="end"/>
      </w:r>
      <w:r w:rsidR="009B5E74" w:rsidRPr="00D40DC4">
        <w:t>. táblázat: Előrebecsült GDP/fő növekedési értékek (időszakos évi átlag, %)</w:t>
      </w:r>
      <w:bookmarkEnd w:id="3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
        <w:gridCol w:w="1181"/>
        <w:gridCol w:w="1181"/>
        <w:gridCol w:w="1181"/>
        <w:gridCol w:w="1181"/>
        <w:gridCol w:w="1181"/>
        <w:gridCol w:w="1181"/>
        <w:gridCol w:w="1177"/>
      </w:tblGrid>
      <w:tr w:rsidR="009B5E74" w:rsidRPr="00D40DC4" w:rsidTr="00670C1D">
        <w:trPr>
          <w:trHeight w:val="255"/>
        </w:trPr>
        <w:tc>
          <w:tcPr>
            <w:tcW w:w="515" w:type="pct"/>
            <w:shd w:val="clear" w:color="auto" w:fill="99CCFF"/>
            <w:noWrap/>
          </w:tcPr>
          <w:p w:rsidR="009B5E74" w:rsidRPr="00D40DC4" w:rsidRDefault="009B5E74" w:rsidP="00670C1D">
            <w:pPr>
              <w:spacing w:after="0"/>
              <w:jc w:val="center"/>
              <w:rPr>
                <w:rFonts w:cs="Arial"/>
                <w:b/>
                <w:szCs w:val="20"/>
              </w:rPr>
            </w:pPr>
          </w:p>
        </w:tc>
        <w:tc>
          <w:tcPr>
            <w:tcW w:w="641" w:type="pct"/>
            <w:shd w:val="clear" w:color="auto" w:fill="99CCFF"/>
          </w:tcPr>
          <w:p w:rsidR="009B5E74" w:rsidRPr="00D40DC4" w:rsidRDefault="009B5E74" w:rsidP="00670C1D">
            <w:pPr>
              <w:spacing w:after="0"/>
              <w:jc w:val="center"/>
              <w:rPr>
                <w:rFonts w:cs="Arial"/>
                <w:b/>
                <w:szCs w:val="20"/>
              </w:rPr>
            </w:pPr>
            <w:r w:rsidRPr="00D40DC4">
              <w:rPr>
                <w:rFonts w:cs="Arial"/>
                <w:b/>
                <w:szCs w:val="20"/>
              </w:rPr>
              <w:t>2014</w:t>
            </w:r>
          </w:p>
        </w:tc>
        <w:tc>
          <w:tcPr>
            <w:tcW w:w="641" w:type="pct"/>
            <w:shd w:val="clear" w:color="auto" w:fill="99CCFF"/>
          </w:tcPr>
          <w:p w:rsidR="009B5E74" w:rsidRPr="00D40DC4" w:rsidRDefault="009B5E74" w:rsidP="00670C1D">
            <w:pPr>
              <w:spacing w:after="0"/>
              <w:jc w:val="center"/>
              <w:rPr>
                <w:rFonts w:cs="Arial"/>
                <w:b/>
                <w:szCs w:val="20"/>
              </w:rPr>
            </w:pPr>
            <w:r w:rsidRPr="00D40DC4">
              <w:rPr>
                <w:rFonts w:cs="Arial"/>
                <w:b/>
                <w:szCs w:val="20"/>
              </w:rPr>
              <w:t>2015</w:t>
            </w:r>
          </w:p>
        </w:tc>
        <w:tc>
          <w:tcPr>
            <w:tcW w:w="641" w:type="pct"/>
            <w:shd w:val="clear" w:color="auto" w:fill="99CCFF"/>
          </w:tcPr>
          <w:p w:rsidR="009B5E74" w:rsidRPr="00D40DC4" w:rsidRDefault="009B5E74" w:rsidP="00670C1D">
            <w:pPr>
              <w:spacing w:after="0"/>
              <w:jc w:val="center"/>
              <w:rPr>
                <w:rFonts w:cs="Arial"/>
                <w:b/>
                <w:szCs w:val="20"/>
              </w:rPr>
            </w:pPr>
            <w:r w:rsidRPr="00D40DC4">
              <w:rPr>
                <w:rFonts w:cs="Arial"/>
                <w:b/>
                <w:szCs w:val="20"/>
              </w:rPr>
              <w:t>2016</w:t>
            </w:r>
          </w:p>
        </w:tc>
        <w:tc>
          <w:tcPr>
            <w:tcW w:w="641" w:type="pct"/>
            <w:shd w:val="clear" w:color="auto" w:fill="99CCFF"/>
            <w:noWrap/>
          </w:tcPr>
          <w:p w:rsidR="009B5E74" w:rsidRPr="00D40DC4" w:rsidRDefault="009B5E74" w:rsidP="00670C1D">
            <w:pPr>
              <w:spacing w:after="0"/>
              <w:jc w:val="center"/>
              <w:rPr>
                <w:rFonts w:cs="Arial"/>
                <w:b/>
                <w:szCs w:val="20"/>
              </w:rPr>
            </w:pPr>
            <w:r w:rsidRPr="00D40DC4">
              <w:rPr>
                <w:rFonts w:cs="Arial"/>
                <w:b/>
                <w:szCs w:val="20"/>
              </w:rPr>
              <w:t>2017-2020</w:t>
            </w:r>
          </w:p>
        </w:tc>
        <w:tc>
          <w:tcPr>
            <w:tcW w:w="641" w:type="pct"/>
            <w:shd w:val="clear" w:color="auto" w:fill="99CCFF"/>
            <w:noWrap/>
          </w:tcPr>
          <w:p w:rsidR="009B5E74" w:rsidRPr="00D40DC4" w:rsidRDefault="009B5E74" w:rsidP="00670C1D">
            <w:pPr>
              <w:spacing w:after="0"/>
              <w:jc w:val="center"/>
              <w:rPr>
                <w:rFonts w:cs="Arial"/>
                <w:b/>
                <w:szCs w:val="20"/>
              </w:rPr>
            </w:pPr>
            <w:r w:rsidRPr="00D40DC4">
              <w:rPr>
                <w:rFonts w:cs="Arial"/>
                <w:b/>
                <w:szCs w:val="20"/>
              </w:rPr>
              <w:t>2021-2030</w:t>
            </w:r>
          </w:p>
        </w:tc>
        <w:tc>
          <w:tcPr>
            <w:tcW w:w="641" w:type="pct"/>
            <w:shd w:val="clear" w:color="auto" w:fill="99CCFF"/>
          </w:tcPr>
          <w:p w:rsidR="009B5E74" w:rsidRPr="00D40DC4" w:rsidRDefault="009B5E74" w:rsidP="00670C1D">
            <w:pPr>
              <w:spacing w:after="0"/>
              <w:jc w:val="center"/>
              <w:rPr>
                <w:rFonts w:cs="Arial"/>
                <w:b/>
                <w:szCs w:val="20"/>
              </w:rPr>
            </w:pPr>
            <w:r w:rsidRPr="00D40DC4">
              <w:rPr>
                <w:rFonts w:cs="Arial"/>
                <w:b/>
                <w:szCs w:val="20"/>
              </w:rPr>
              <w:t>2031-2040</w:t>
            </w:r>
          </w:p>
        </w:tc>
        <w:tc>
          <w:tcPr>
            <w:tcW w:w="641" w:type="pct"/>
            <w:shd w:val="clear" w:color="auto" w:fill="99CCFF"/>
            <w:noWrap/>
          </w:tcPr>
          <w:p w:rsidR="009B5E74" w:rsidRPr="00D40DC4" w:rsidRDefault="009B5E74" w:rsidP="00670C1D">
            <w:pPr>
              <w:spacing w:after="0"/>
              <w:jc w:val="center"/>
              <w:rPr>
                <w:rFonts w:cs="Arial"/>
                <w:b/>
                <w:szCs w:val="20"/>
              </w:rPr>
            </w:pPr>
            <w:r w:rsidRPr="00D40DC4">
              <w:rPr>
                <w:rFonts w:cs="Arial"/>
                <w:b/>
                <w:szCs w:val="20"/>
              </w:rPr>
              <w:t>2041-2050</w:t>
            </w:r>
          </w:p>
        </w:tc>
      </w:tr>
      <w:tr w:rsidR="009B5E74" w:rsidRPr="00D40DC4" w:rsidTr="00670C1D">
        <w:trPr>
          <w:trHeight w:val="299"/>
        </w:trPr>
        <w:tc>
          <w:tcPr>
            <w:tcW w:w="515" w:type="pct"/>
            <w:shd w:val="clear" w:color="auto" w:fill="auto"/>
            <w:vAlign w:val="center"/>
          </w:tcPr>
          <w:p w:rsidR="009B5E74" w:rsidRPr="00D40DC4" w:rsidRDefault="009B5E74" w:rsidP="00670C1D">
            <w:pPr>
              <w:spacing w:after="0"/>
              <w:jc w:val="center"/>
              <w:rPr>
                <w:rFonts w:cs="Arial"/>
                <w:szCs w:val="20"/>
              </w:rPr>
            </w:pPr>
            <w:r w:rsidRPr="00D40DC4">
              <w:rPr>
                <w:rFonts w:cs="Arial"/>
                <w:szCs w:val="20"/>
              </w:rPr>
              <w:t>GDP</w:t>
            </w:r>
          </w:p>
        </w:tc>
        <w:tc>
          <w:tcPr>
            <w:tcW w:w="641" w:type="pct"/>
          </w:tcPr>
          <w:p w:rsidR="009B5E74" w:rsidRPr="00D40DC4" w:rsidRDefault="009B5E74" w:rsidP="00670C1D">
            <w:pPr>
              <w:spacing w:after="0"/>
              <w:jc w:val="center"/>
              <w:rPr>
                <w:rFonts w:cs="Arial"/>
                <w:szCs w:val="20"/>
              </w:rPr>
            </w:pPr>
            <w:r w:rsidRPr="00D40DC4">
              <w:rPr>
                <w:rFonts w:cs="Arial"/>
                <w:szCs w:val="20"/>
              </w:rPr>
              <w:t>2,3</w:t>
            </w:r>
          </w:p>
        </w:tc>
        <w:tc>
          <w:tcPr>
            <w:tcW w:w="641" w:type="pct"/>
          </w:tcPr>
          <w:p w:rsidR="009B5E74" w:rsidRPr="00D40DC4" w:rsidRDefault="009B5E74" w:rsidP="00670C1D">
            <w:pPr>
              <w:spacing w:after="0"/>
              <w:jc w:val="center"/>
              <w:rPr>
                <w:rFonts w:cs="Arial"/>
                <w:szCs w:val="20"/>
              </w:rPr>
            </w:pPr>
            <w:r w:rsidRPr="00D40DC4">
              <w:rPr>
                <w:rFonts w:cs="Arial"/>
                <w:szCs w:val="20"/>
              </w:rPr>
              <w:t>2,5</w:t>
            </w:r>
          </w:p>
        </w:tc>
        <w:tc>
          <w:tcPr>
            <w:tcW w:w="641" w:type="pct"/>
          </w:tcPr>
          <w:p w:rsidR="009B5E74" w:rsidRPr="00D40DC4" w:rsidRDefault="009B5E74" w:rsidP="00670C1D">
            <w:pPr>
              <w:spacing w:after="0"/>
              <w:jc w:val="center"/>
              <w:rPr>
                <w:rFonts w:cs="Arial"/>
                <w:szCs w:val="20"/>
              </w:rPr>
            </w:pPr>
            <w:r w:rsidRPr="00D40DC4">
              <w:rPr>
                <w:rFonts w:cs="Arial"/>
                <w:szCs w:val="20"/>
              </w:rPr>
              <w:t>2,1</w:t>
            </w:r>
          </w:p>
        </w:tc>
        <w:tc>
          <w:tcPr>
            <w:tcW w:w="641" w:type="pct"/>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1,3 %</w:t>
            </w:r>
          </w:p>
        </w:tc>
        <w:tc>
          <w:tcPr>
            <w:tcW w:w="641" w:type="pct"/>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2,0 %</w:t>
            </w:r>
          </w:p>
        </w:tc>
        <w:tc>
          <w:tcPr>
            <w:tcW w:w="641" w:type="pct"/>
            <w:vAlign w:val="center"/>
          </w:tcPr>
          <w:p w:rsidR="009B5E74" w:rsidRPr="00D40DC4" w:rsidRDefault="009B5E74" w:rsidP="00670C1D">
            <w:pPr>
              <w:spacing w:after="0"/>
              <w:jc w:val="center"/>
              <w:rPr>
                <w:rFonts w:cs="Arial"/>
                <w:szCs w:val="20"/>
              </w:rPr>
            </w:pPr>
            <w:r w:rsidRPr="00D40DC4">
              <w:rPr>
                <w:rFonts w:cs="Arial"/>
                <w:szCs w:val="20"/>
              </w:rPr>
              <w:t>1,5</w:t>
            </w:r>
          </w:p>
        </w:tc>
        <w:tc>
          <w:tcPr>
            <w:tcW w:w="641" w:type="pct"/>
            <w:shd w:val="clear" w:color="auto" w:fill="auto"/>
            <w:noWrap/>
            <w:vAlign w:val="center"/>
          </w:tcPr>
          <w:p w:rsidR="009B5E74" w:rsidRPr="00D40DC4" w:rsidRDefault="009B5E74" w:rsidP="00670C1D">
            <w:pPr>
              <w:spacing w:after="0"/>
              <w:jc w:val="center"/>
              <w:rPr>
                <w:rFonts w:cs="Arial"/>
                <w:szCs w:val="20"/>
              </w:rPr>
            </w:pPr>
            <w:r w:rsidRPr="00D40DC4">
              <w:rPr>
                <w:rFonts w:cs="Arial"/>
                <w:szCs w:val="20"/>
              </w:rPr>
              <w:t>1,0 %</w:t>
            </w:r>
          </w:p>
        </w:tc>
      </w:tr>
    </w:tbl>
    <w:p w:rsidR="009B5E74" w:rsidRPr="00D40DC4" w:rsidRDefault="009B5E74" w:rsidP="009B5E74">
      <w:pPr>
        <w:rPr>
          <w:rFonts w:cs="Arial"/>
        </w:rPr>
      </w:pPr>
      <w:r w:rsidRPr="00D40DC4">
        <w:rPr>
          <w:rFonts w:cs="Arial"/>
        </w:rPr>
        <w:t>Forrás: 2012-</w:t>
      </w:r>
      <w:r w:rsidR="00E27365" w:rsidRPr="00D40DC4">
        <w:rPr>
          <w:rFonts w:cs="Arial"/>
        </w:rPr>
        <w:t>2050</w:t>
      </w:r>
      <w:r w:rsidRPr="00D40DC4">
        <w:rPr>
          <w:rFonts w:cs="Arial"/>
        </w:rPr>
        <w:t xml:space="preserve">: </w:t>
      </w:r>
      <w:r w:rsidR="00E27365" w:rsidRPr="00D40DC4">
        <w:rPr>
          <w:rFonts w:cs="Arial"/>
        </w:rPr>
        <w:t>NGM által használt makromodell</w:t>
      </w:r>
    </w:p>
    <w:p w:rsidR="009B5E74" w:rsidRPr="00D40DC4" w:rsidRDefault="009B5E74" w:rsidP="009B5E74">
      <w:pPr>
        <w:rPr>
          <w:rFonts w:cs="Arial"/>
        </w:rPr>
      </w:pPr>
      <w:r w:rsidRPr="00D40DC4">
        <w:rPr>
          <w:rFonts w:cs="Arial"/>
        </w:rPr>
        <w:t>A GDP adatokat az Útmutató írásakor rendelkezésre álló utolsó (2015. június) MNB inflációs jelentésből valamint az NGM által, a nyugdíjrendszer fenntarthatóságát vizsgáló modellekből állítottuk elő.</w:t>
      </w:r>
    </w:p>
    <w:p w:rsidR="009B5E74" w:rsidRPr="00D40DC4" w:rsidRDefault="009B5E74" w:rsidP="005A76C2">
      <w:pPr>
        <w:pStyle w:val="Cmsor4"/>
      </w:pPr>
      <w:r w:rsidRPr="00D40DC4">
        <w:t>Vizsgált időtáv</w:t>
      </w:r>
    </w:p>
    <w:p w:rsidR="009B5E74" w:rsidRPr="00D40DC4" w:rsidRDefault="009B5E74" w:rsidP="009B5E74">
      <w:pPr>
        <w:rPr>
          <w:rFonts w:cs="Arial"/>
        </w:rPr>
      </w:pPr>
      <w:r w:rsidRPr="00D40DC4">
        <w:rPr>
          <w:rFonts w:cs="Arial"/>
        </w:rPr>
        <w:t>A vizsgált időtáv (referenciaidőszak)</w:t>
      </w:r>
      <w:r w:rsidRPr="00D40DC4">
        <w:rPr>
          <w:rFonts w:cs="Arial"/>
          <w:vertAlign w:val="superscript"/>
        </w:rPr>
        <w:footnoteReference w:id="8"/>
      </w:r>
      <w:r w:rsidRPr="00D40DC4">
        <w:rPr>
          <w:rFonts w:cs="Arial"/>
          <w:vertAlign w:val="superscript"/>
        </w:rPr>
        <w:t xml:space="preserve"> </w:t>
      </w:r>
      <w:r w:rsidRPr="00D40DC4">
        <w:rPr>
          <w:rFonts w:cs="Arial"/>
        </w:rPr>
        <w:t>azon évek száma, amelyek tekintetében a költség-haszon elemzés előrejelzéseket tartalmaz, azaz a pénzügyi és a közgazdasági költség-haszon elemzés során alkalmazott időtáv. A projekt jövőbeni alakulására vonatkozó előrejelzéseket a projekt gazdaságilag hasznos élettartamának megfelelő és hosszabb távú valószínű hatásainak felölelésére elégségesen hosszú időszakra kell kialakítani, általában 30 évre.</w:t>
      </w:r>
    </w:p>
    <w:tbl>
      <w:tblPr>
        <w:tblW w:w="5000" w:type="pct"/>
        <w:tblLayout w:type="fixed"/>
        <w:tblLook w:val="04A0" w:firstRow="1" w:lastRow="0" w:firstColumn="1" w:lastColumn="0" w:noHBand="0" w:noVBand="1"/>
      </w:tblPr>
      <w:tblGrid>
        <w:gridCol w:w="6331"/>
        <w:gridCol w:w="2957"/>
      </w:tblGrid>
      <w:tr w:rsidR="009B5E74" w:rsidRPr="00D40DC4" w:rsidTr="00670C1D">
        <w:trPr>
          <w:cantSplit/>
          <w:tblHeader/>
        </w:trPr>
        <w:tc>
          <w:tcPr>
            <w:tcW w:w="3408" w:type="pct"/>
            <w:shd w:val="clear" w:color="auto" w:fill="9CC2E5" w:themeFill="accent1" w:themeFillTint="99"/>
          </w:tcPr>
          <w:p w:rsidR="009B5E74" w:rsidRPr="00D40DC4" w:rsidRDefault="006C40C2" w:rsidP="006C40C2">
            <w:pPr>
              <w:tabs>
                <w:tab w:val="left" w:pos="1590"/>
                <w:tab w:val="center" w:pos="2983"/>
              </w:tabs>
              <w:spacing w:before="60" w:after="60"/>
              <w:jc w:val="left"/>
              <w:rPr>
                <w:rFonts w:cs="Arial"/>
                <w:b/>
                <w:color w:val="000000"/>
              </w:rPr>
            </w:pPr>
            <w:r w:rsidRPr="00D40DC4">
              <w:rPr>
                <w:rFonts w:cs="Arial"/>
                <w:b/>
                <w:color w:val="000000"/>
              </w:rPr>
              <w:tab/>
            </w:r>
            <w:r w:rsidRPr="00D40DC4">
              <w:rPr>
                <w:rFonts w:cs="Arial"/>
                <w:b/>
                <w:color w:val="000000"/>
              </w:rPr>
              <w:tab/>
            </w:r>
            <w:r w:rsidR="009B5E74" w:rsidRPr="00D40DC4">
              <w:rPr>
                <w:rFonts w:cs="Arial"/>
                <w:b/>
                <w:color w:val="000000"/>
              </w:rPr>
              <w:t>Ágazat</w:t>
            </w:r>
          </w:p>
        </w:tc>
        <w:tc>
          <w:tcPr>
            <w:tcW w:w="1592" w:type="pct"/>
            <w:shd w:val="clear" w:color="auto" w:fill="9CC2E5" w:themeFill="accent1" w:themeFillTint="99"/>
          </w:tcPr>
          <w:p w:rsidR="009B5E74" w:rsidRPr="00D40DC4" w:rsidRDefault="009B5E74" w:rsidP="00670C1D">
            <w:pPr>
              <w:spacing w:before="60" w:after="60"/>
              <w:jc w:val="center"/>
              <w:rPr>
                <w:rFonts w:cs="Arial"/>
                <w:b/>
                <w:color w:val="000000"/>
              </w:rPr>
            </w:pPr>
            <w:r w:rsidRPr="00D40DC4">
              <w:rPr>
                <w:rFonts w:cs="Arial"/>
                <w:b/>
                <w:color w:val="000000"/>
              </w:rPr>
              <w:t>vizsgált időtáv (év)</w:t>
            </w:r>
            <w:r w:rsidRPr="00D40DC4">
              <w:rPr>
                <w:rFonts w:cs="Arial"/>
                <w:color w:val="000000"/>
                <w:vertAlign w:val="superscript"/>
              </w:rPr>
              <w:footnoteReference w:id="9"/>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lastRenderedPageBreak/>
              <w:t>Vasút</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30</w:t>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t>Vízellátás/közegészségügyi szolgáltatások</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30</w:t>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t>Utak</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25–30</w:t>
            </w:r>
          </w:p>
        </w:tc>
      </w:tr>
      <w:tr w:rsidR="009B5E74" w:rsidRPr="00D40DC4" w:rsidTr="00670C1D">
        <w:trPr>
          <w:cantSplit/>
        </w:trPr>
        <w:tc>
          <w:tcPr>
            <w:tcW w:w="3408" w:type="pct"/>
          </w:tcPr>
          <w:p w:rsidR="009B5E74" w:rsidRPr="00D40DC4" w:rsidRDefault="009B5E74" w:rsidP="00670C1D">
            <w:pPr>
              <w:spacing w:before="60" w:after="60"/>
              <w:rPr>
                <w:rFonts w:cs="Arial"/>
              </w:rPr>
            </w:pPr>
            <w:r w:rsidRPr="00D40DC4">
              <w:rPr>
                <w:rFonts w:cs="Arial"/>
                <w:color w:val="000000"/>
              </w:rPr>
              <w:t>Hulladékgazdálkodás</w:t>
            </w:r>
          </w:p>
        </w:tc>
        <w:tc>
          <w:tcPr>
            <w:tcW w:w="1592" w:type="pct"/>
          </w:tcPr>
          <w:p w:rsidR="009B5E74" w:rsidRPr="00D40DC4" w:rsidRDefault="009B5E74" w:rsidP="00670C1D">
            <w:pPr>
              <w:spacing w:before="60" w:after="60"/>
              <w:jc w:val="center"/>
              <w:rPr>
                <w:rFonts w:cs="Arial"/>
              </w:rPr>
            </w:pPr>
            <w:r w:rsidRPr="00D40DC4">
              <w:rPr>
                <w:rFonts w:cs="Arial"/>
                <w:color w:val="000000"/>
              </w:rPr>
              <w:t>25–30</w:t>
            </w:r>
          </w:p>
        </w:tc>
      </w:tr>
      <w:tr w:rsidR="009B5E74" w:rsidRPr="00D40DC4" w:rsidTr="00670C1D">
        <w:trPr>
          <w:cantSplit/>
        </w:trPr>
        <w:tc>
          <w:tcPr>
            <w:tcW w:w="3408" w:type="pct"/>
          </w:tcPr>
          <w:p w:rsidR="009B5E74" w:rsidRPr="00D40DC4" w:rsidRDefault="009B5E74" w:rsidP="00670C1D">
            <w:pPr>
              <w:spacing w:before="60" w:after="60"/>
              <w:rPr>
                <w:rFonts w:cs="Arial"/>
              </w:rPr>
            </w:pPr>
            <w:r w:rsidRPr="00D40DC4">
              <w:rPr>
                <w:rFonts w:cs="Arial"/>
                <w:color w:val="000000"/>
              </w:rPr>
              <w:t>Kikötők és repülőterek</w:t>
            </w:r>
          </w:p>
        </w:tc>
        <w:tc>
          <w:tcPr>
            <w:tcW w:w="1592" w:type="pct"/>
          </w:tcPr>
          <w:p w:rsidR="009B5E74" w:rsidRPr="00D40DC4" w:rsidRDefault="009B5E74" w:rsidP="00670C1D">
            <w:pPr>
              <w:spacing w:before="60" w:after="60"/>
              <w:jc w:val="center"/>
              <w:rPr>
                <w:rFonts w:cs="Arial"/>
              </w:rPr>
            </w:pPr>
            <w:r w:rsidRPr="00D40DC4">
              <w:rPr>
                <w:rFonts w:cs="Arial"/>
                <w:color w:val="000000"/>
              </w:rPr>
              <w:t>25</w:t>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t>Városi közlekedés</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25–30</w:t>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t>Energia</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15-25</w:t>
            </w:r>
          </w:p>
        </w:tc>
      </w:tr>
      <w:tr w:rsidR="009B5E74" w:rsidRPr="00D40DC4" w:rsidTr="00670C1D">
        <w:trPr>
          <w:cantSplit/>
        </w:trPr>
        <w:tc>
          <w:tcPr>
            <w:tcW w:w="3408" w:type="pct"/>
          </w:tcPr>
          <w:p w:rsidR="009B5E74" w:rsidRPr="00D40DC4" w:rsidRDefault="009B5E74" w:rsidP="00670C1D">
            <w:pPr>
              <w:spacing w:before="60" w:after="60"/>
              <w:rPr>
                <w:rFonts w:cs="Arial"/>
              </w:rPr>
            </w:pPr>
            <w:r w:rsidRPr="00D40DC4">
              <w:rPr>
                <w:rFonts w:cs="Arial"/>
                <w:color w:val="000000"/>
              </w:rPr>
              <w:t>Kutatás és innováció</w:t>
            </w:r>
          </w:p>
        </w:tc>
        <w:tc>
          <w:tcPr>
            <w:tcW w:w="1592" w:type="pct"/>
          </w:tcPr>
          <w:p w:rsidR="009B5E74" w:rsidRPr="00D40DC4" w:rsidRDefault="009B5E74" w:rsidP="00670C1D">
            <w:pPr>
              <w:spacing w:before="60" w:after="60"/>
              <w:jc w:val="center"/>
              <w:rPr>
                <w:rFonts w:cs="Arial"/>
              </w:rPr>
            </w:pPr>
            <w:r w:rsidRPr="00D40DC4">
              <w:rPr>
                <w:rFonts w:cs="Arial"/>
                <w:color w:val="000000"/>
              </w:rPr>
              <w:t>15-25</w:t>
            </w:r>
          </w:p>
        </w:tc>
      </w:tr>
      <w:tr w:rsidR="009B5E74" w:rsidRPr="00D40DC4" w:rsidTr="00670C1D">
        <w:trPr>
          <w:cantSplit/>
        </w:trPr>
        <w:tc>
          <w:tcPr>
            <w:tcW w:w="3408" w:type="pct"/>
          </w:tcPr>
          <w:p w:rsidR="009B5E74" w:rsidRPr="00D40DC4" w:rsidRDefault="009B5E74" w:rsidP="00670C1D">
            <w:pPr>
              <w:spacing w:before="60" w:after="60"/>
              <w:rPr>
                <w:rFonts w:cs="Arial"/>
              </w:rPr>
            </w:pPr>
            <w:r w:rsidRPr="00D40DC4">
              <w:rPr>
                <w:rFonts w:cs="Arial"/>
                <w:color w:val="000000"/>
              </w:rPr>
              <w:t>Széles sávú szolgáltatások</w:t>
            </w:r>
          </w:p>
        </w:tc>
        <w:tc>
          <w:tcPr>
            <w:tcW w:w="1592" w:type="pct"/>
          </w:tcPr>
          <w:p w:rsidR="009B5E74" w:rsidRPr="00D40DC4" w:rsidRDefault="009B5E74" w:rsidP="00670C1D">
            <w:pPr>
              <w:spacing w:before="60" w:after="60"/>
              <w:jc w:val="center"/>
              <w:rPr>
                <w:rFonts w:cs="Arial"/>
              </w:rPr>
            </w:pPr>
            <w:r w:rsidRPr="00D40DC4">
              <w:rPr>
                <w:rFonts w:cs="Arial"/>
                <w:color w:val="000000"/>
              </w:rPr>
              <w:t>15-20</w:t>
            </w:r>
          </w:p>
        </w:tc>
      </w:tr>
      <w:tr w:rsidR="009B5E74" w:rsidRPr="00D40DC4" w:rsidTr="00670C1D">
        <w:trPr>
          <w:cantSplit/>
        </w:trPr>
        <w:tc>
          <w:tcPr>
            <w:tcW w:w="3408" w:type="pct"/>
          </w:tcPr>
          <w:p w:rsidR="009B5E74" w:rsidRPr="00D40DC4" w:rsidRDefault="009B5E74" w:rsidP="00670C1D">
            <w:pPr>
              <w:spacing w:before="60" w:after="60"/>
              <w:rPr>
                <w:rFonts w:cs="Arial"/>
              </w:rPr>
            </w:pPr>
            <w:r w:rsidRPr="00D40DC4">
              <w:rPr>
                <w:rFonts w:cs="Arial"/>
                <w:color w:val="000000"/>
              </w:rPr>
              <w:t>Vállalati infrastruktúra</w:t>
            </w:r>
          </w:p>
        </w:tc>
        <w:tc>
          <w:tcPr>
            <w:tcW w:w="1592" w:type="pct"/>
          </w:tcPr>
          <w:p w:rsidR="009B5E74" w:rsidRPr="00D40DC4" w:rsidRDefault="009B5E74" w:rsidP="00670C1D">
            <w:pPr>
              <w:spacing w:before="60" w:after="60"/>
              <w:jc w:val="center"/>
              <w:rPr>
                <w:rFonts w:cs="Arial"/>
              </w:rPr>
            </w:pPr>
            <w:r w:rsidRPr="00D40DC4">
              <w:rPr>
                <w:rFonts w:cs="Arial"/>
                <w:color w:val="000000"/>
              </w:rPr>
              <w:t>10-15</w:t>
            </w:r>
          </w:p>
        </w:tc>
      </w:tr>
      <w:tr w:rsidR="009B5E74" w:rsidRPr="00D40DC4" w:rsidTr="00670C1D">
        <w:trPr>
          <w:cantSplit/>
        </w:trPr>
        <w:tc>
          <w:tcPr>
            <w:tcW w:w="3408" w:type="pct"/>
          </w:tcPr>
          <w:p w:rsidR="009B5E74" w:rsidRPr="00D40DC4" w:rsidRDefault="009B5E74" w:rsidP="00670C1D">
            <w:pPr>
              <w:spacing w:before="60" w:after="60"/>
              <w:rPr>
                <w:rFonts w:cs="Arial"/>
                <w:color w:val="000000"/>
              </w:rPr>
            </w:pPr>
            <w:r w:rsidRPr="00D40DC4">
              <w:rPr>
                <w:rFonts w:cs="Arial"/>
                <w:color w:val="000000"/>
              </w:rPr>
              <w:t>Egyéb ágazatok</w:t>
            </w:r>
          </w:p>
        </w:tc>
        <w:tc>
          <w:tcPr>
            <w:tcW w:w="1592" w:type="pct"/>
          </w:tcPr>
          <w:p w:rsidR="009B5E74" w:rsidRPr="00D40DC4" w:rsidRDefault="009B5E74" w:rsidP="00670C1D">
            <w:pPr>
              <w:spacing w:before="60" w:after="60"/>
              <w:jc w:val="center"/>
              <w:rPr>
                <w:rFonts w:cs="Arial"/>
                <w:color w:val="000000"/>
              </w:rPr>
            </w:pPr>
            <w:r w:rsidRPr="00D40DC4">
              <w:rPr>
                <w:rFonts w:cs="Arial"/>
                <w:color w:val="000000"/>
              </w:rPr>
              <w:t>10-15</w:t>
            </w:r>
          </w:p>
        </w:tc>
      </w:tr>
    </w:tbl>
    <w:p w:rsidR="009B5E74" w:rsidRPr="00D40DC4" w:rsidRDefault="009B5E74" w:rsidP="009B5E74">
      <w:pPr>
        <w:rPr>
          <w:rFonts w:cs="Arial"/>
        </w:rPr>
      </w:pPr>
    </w:p>
    <w:p w:rsidR="009B5E74" w:rsidRPr="00D40DC4" w:rsidRDefault="009B5E74" w:rsidP="005A76C2">
      <w:pPr>
        <w:pStyle w:val="Cmsor4"/>
      </w:pPr>
      <w:r w:rsidRPr="00D40DC4">
        <w:t>Az elemzés kezdő éve</w:t>
      </w:r>
    </w:p>
    <w:p w:rsidR="009B5E74" w:rsidRPr="00D40DC4" w:rsidRDefault="009B5E74" w:rsidP="009B5E74">
      <w:pPr>
        <w:rPr>
          <w:rFonts w:cs="Arial"/>
        </w:rPr>
      </w:pPr>
      <w:r w:rsidRPr="00D40DC4">
        <w:rPr>
          <w:rFonts w:cs="Arial"/>
        </w:rPr>
        <w:t>A referenciaidőszak kezdő évének (ami a rögzített árszínvonal éve is) a beruházás első évét kell tekinteni. Ha akár elszámolható, akár nem elszámolható költségek felmerültek a kezdő év előtt, akkor azokat a megfelelő inflációs ráták segítségével át kell számolni a kezdő év rögzített árszínvonalára.</w:t>
      </w:r>
    </w:p>
    <w:p w:rsidR="009B5E74" w:rsidRPr="00D40DC4" w:rsidRDefault="009B5E74" w:rsidP="005A76C2">
      <w:pPr>
        <w:pStyle w:val="Cmsor4"/>
      </w:pPr>
      <w:r w:rsidRPr="00D40DC4">
        <w:t xml:space="preserve">A pénzügyi diszkontráta </w:t>
      </w:r>
    </w:p>
    <w:p w:rsidR="009B5E74" w:rsidRPr="00D40DC4" w:rsidRDefault="004160E4" w:rsidP="009B5E74">
      <w:pPr>
        <w:rPr>
          <w:rFonts w:cs="Arial"/>
        </w:rPr>
      </w:pPr>
      <w:r w:rsidRPr="00D40DC4">
        <w:rPr>
          <w:rFonts w:cs="Arial"/>
        </w:rPr>
        <w:t>A Bizottság 2014/480/EU felhatalmazáson alapuló rendelete</w:t>
      </w:r>
      <w:r w:rsidR="009B5E74" w:rsidRPr="00D40DC4">
        <w:rPr>
          <w:rFonts w:cs="Arial"/>
        </w:rPr>
        <w:t xml:space="preserve"> szerint </w:t>
      </w:r>
      <w:r w:rsidRPr="00D40DC4">
        <w:rPr>
          <w:rFonts w:cs="Arial"/>
        </w:rPr>
        <w:t>a Kohéziós Tagországok, így Magyarország, számára</w:t>
      </w:r>
      <w:r w:rsidR="009B5E74" w:rsidRPr="00D40DC4">
        <w:rPr>
          <w:rFonts w:cs="Arial"/>
        </w:rPr>
        <w:t xml:space="preserve"> 4%-os pénzügyi diszkontráta </w:t>
      </w:r>
      <w:r w:rsidRPr="00D40DC4">
        <w:rPr>
          <w:rFonts w:cs="Arial"/>
        </w:rPr>
        <w:t>alkalmazása javasolt</w:t>
      </w:r>
      <w:r w:rsidR="009B5E74" w:rsidRPr="00D40DC4">
        <w:rPr>
          <w:rFonts w:cs="Arial"/>
        </w:rPr>
        <w:t>. A magyarországi elemzések alapján ezt a diszkontrátát kell alkalmazni a pénzügyi elemzésekben.</w:t>
      </w:r>
    </w:p>
    <w:p w:rsidR="009B5E74" w:rsidRPr="00D40DC4" w:rsidRDefault="009B5E74" w:rsidP="005A76C2">
      <w:pPr>
        <w:pStyle w:val="Cmsor4"/>
      </w:pPr>
      <w:r w:rsidRPr="00D40DC4">
        <w:t xml:space="preserve">A közgazdasági diszkontráta </w:t>
      </w:r>
    </w:p>
    <w:p w:rsidR="009B5E74" w:rsidRPr="00D40DC4" w:rsidRDefault="004160E4" w:rsidP="009B5E74">
      <w:pPr>
        <w:rPr>
          <w:rFonts w:cs="Arial"/>
        </w:rPr>
      </w:pPr>
      <w:r w:rsidRPr="00D40DC4">
        <w:rPr>
          <w:rFonts w:cs="Arial"/>
        </w:rPr>
        <w:t xml:space="preserve">A Bizottság 2014/480/EU felhatalmazáson alapuló rendelete szerint </w:t>
      </w:r>
      <w:r w:rsidR="00EA03B0" w:rsidRPr="00D40DC4">
        <w:rPr>
          <w:rFonts w:cs="Arial"/>
        </w:rPr>
        <w:t>a Kohéziós Tagországok, így Magyarország, számára</w:t>
      </w:r>
      <w:r w:rsidR="009B5E74" w:rsidRPr="00D40DC4">
        <w:rPr>
          <w:rFonts w:cs="Arial"/>
        </w:rPr>
        <w:t xml:space="preserve"> 5%-os társadalmi diszkontráta </w:t>
      </w:r>
      <w:r w:rsidR="00EA03B0" w:rsidRPr="00D40DC4">
        <w:rPr>
          <w:rFonts w:cs="Arial"/>
        </w:rPr>
        <w:t>alkalmazása javasolt</w:t>
      </w:r>
      <w:r w:rsidR="009B5E74" w:rsidRPr="00D40DC4">
        <w:rPr>
          <w:rFonts w:cs="Arial"/>
        </w:rPr>
        <w:t>. A magyarországi elemzések alapján ezt a diszkontrátát kell alkalmazni a közgazdasági elemzésekben, beleértve a változatelemzést is.</w:t>
      </w:r>
    </w:p>
    <w:p w:rsidR="00322396" w:rsidRPr="00D40DC4" w:rsidRDefault="00322396" w:rsidP="00A53998">
      <w:bookmarkStart w:id="332" w:name="_Ref428258188"/>
      <w:r w:rsidRPr="00D40DC4">
        <w:t>Változatelemzés</w:t>
      </w:r>
      <w:bookmarkEnd w:id="6"/>
      <w:bookmarkEnd w:id="7"/>
      <w:bookmarkEnd w:id="8"/>
      <w:bookmarkEnd w:id="332"/>
    </w:p>
    <w:p w:rsidR="0036719F" w:rsidRPr="00D40DC4" w:rsidRDefault="0036719F" w:rsidP="0036719F">
      <w:r w:rsidRPr="00D40DC4">
        <w:t xml:space="preserve">A változatok elemzésének célja az általánosságban megvalósíthatónak ítélt különböző lehetséges változatok értékelése és összevetése a projekt iránt meglévő jelenlegi és jövőbeni szükségletek kielégítése és a lehető legjobb megoldás megvalósítása érdekében. Az változatokat különböző szempontok, többek között műszaki, intézményi, gazdasági, környezetvédelmi és az éghajlatváltozással kapcsolatos kritériumok alapján kell összehasonlítani. </w:t>
      </w:r>
    </w:p>
    <w:p w:rsidR="0036719F" w:rsidRPr="00D40DC4" w:rsidRDefault="0036719F" w:rsidP="00436DF9">
      <w:r w:rsidRPr="00D40DC4">
        <w:t xml:space="preserve">A változatok elemzését két lépésben kell elvégezni; első lépésben az alapvető stratégiai változatokat (vagyis a projekt infrastruktúrájának és helyszínének típusát) </w:t>
      </w:r>
      <w:r w:rsidR="00436DF9" w:rsidRPr="00D40DC4">
        <w:t>kell megvizsgálni</w:t>
      </w:r>
      <w:r w:rsidRPr="00D40DC4">
        <w:t xml:space="preserve">, majd a második lépésben a konkrét megoldásokat műszaki szempontból </w:t>
      </w:r>
      <w:r w:rsidR="00436DF9" w:rsidRPr="00D40DC4">
        <w:t>való értékelése történik</w:t>
      </w:r>
      <w:r w:rsidRPr="00D40DC4">
        <w:t>.</w:t>
      </w:r>
      <w:r w:rsidR="00436DF9" w:rsidRPr="00D40DC4">
        <w:br/>
      </w:r>
      <w:r w:rsidRPr="00D40DC4">
        <w:t xml:space="preserve">Ha a projektet a köz- és magánszféra közötti partnerség formájában valósítják meg, az elemzésnek ebben a második lépésében a teljesítmény-jellemzőket kell megvizsgálni, abból a szempontból, hogy megfelelnek-e a köz- és magánszféra közötti partnerség keretében megvalósított projekt teljesítmény-jellemzőinek. Az első lépés általában több (főleg minőségi) szemponton alapuló elemzés, míg a második lépés többnyire elsősorban kvantitatív módszereket alkalmaz. </w:t>
      </w:r>
    </w:p>
    <w:p w:rsidR="00EB31EC" w:rsidRPr="00D40DC4" w:rsidRDefault="00EB31EC" w:rsidP="00DD7E6C">
      <w:pPr>
        <w:pStyle w:val="Cmsor2"/>
      </w:pPr>
      <w:bookmarkStart w:id="333" w:name="_Toc428260335"/>
      <w:bookmarkStart w:id="334" w:name="_Toc428280299"/>
      <w:bookmarkStart w:id="335" w:name="_Toc428430407"/>
      <w:bookmarkStart w:id="336" w:name="_Toc428431371"/>
      <w:bookmarkStart w:id="337" w:name="_Toc428635951"/>
      <w:bookmarkStart w:id="338" w:name="_Toc428771528"/>
      <w:bookmarkStart w:id="339" w:name="_Toc436923888"/>
      <w:bookmarkEnd w:id="333"/>
      <w:bookmarkEnd w:id="334"/>
      <w:bookmarkEnd w:id="335"/>
      <w:bookmarkEnd w:id="336"/>
      <w:bookmarkEnd w:id="337"/>
      <w:bookmarkEnd w:id="338"/>
      <w:r w:rsidRPr="00D40DC4">
        <w:t>Változatok meghatározása</w:t>
      </w:r>
      <w:bookmarkEnd w:id="339"/>
    </w:p>
    <w:p w:rsidR="00EB31EC" w:rsidRPr="00D40DC4" w:rsidRDefault="00EB31EC" w:rsidP="00EB31EC">
      <w:pPr>
        <w:rPr>
          <w:rFonts w:cs="Arial"/>
        </w:rPr>
      </w:pPr>
      <w:r w:rsidRPr="00D40DC4">
        <w:rPr>
          <w:rFonts w:cs="Arial"/>
        </w:rPr>
        <w:t xml:space="preserve">Az egyes változatok meghatározása a változatelemzés során történik, a változatelemzés folyamatától függően akár többször is sor kerülhet rá. A változatok vonatkozhatnak a projekt egészére, részeire, a projektek hosszabb távú illesztésére (programokra).  </w:t>
      </w:r>
    </w:p>
    <w:p w:rsidR="00EB31EC" w:rsidRPr="00D40DC4" w:rsidRDefault="00EB31EC" w:rsidP="00EB31EC">
      <w:pPr>
        <w:rPr>
          <w:rFonts w:cs="Arial"/>
        </w:rPr>
      </w:pPr>
      <w:r w:rsidRPr="00D40DC4">
        <w:rPr>
          <w:rFonts w:cs="Arial"/>
        </w:rPr>
        <w:t xml:space="preserve">A változatok meghatározása lényegében az egyes elemzésre kerülő változatok között lévő különbségek jellemzésére irányul Ilyen főbb különbségek lehetnek az alábbiak, amely mentén meghatározhatók az egyes változatok: </w:t>
      </w:r>
    </w:p>
    <w:p w:rsidR="00EB31EC" w:rsidRPr="00D40DC4" w:rsidRDefault="00EB31EC" w:rsidP="006C5A6D">
      <w:pPr>
        <w:numPr>
          <w:ilvl w:val="0"/>
          <w:numId w:val="10"/>
        </w:numPr>
      </w:pPr>
      <w:r w:rsidRPr="00D40DC4">
        <w:lastRenderedPageBreak/>
        <w:t xml:space="preserve">a projekt célja, </w:t>
      </w:r>
    </w:p>
    <w:p w:rsidR="00EB31EC" w:rsidRPr="00D40DC4" w:rsidRDefault="00EB31EC" w:rsidP="006C5A6D">
      <w:pPr>
        <w:numPr>
          <w:ilvl w:val="0"/>
          <w:numId w:val="10"/>
        </w:numPr>
      </w:pPr>
      <w:r w:rsidRPr="00D40DC4">
        <w:t>a projekt megvalósítása során alkalmazott műszaki megoldások, technológia,</w:t>
      </w:r>
    </w:p>
    <w:p w:rsidR="00EB31EC" w:rsidRPr="00D40DC4" w:rsidRDefault="00EB31EC" w:rsidP="006C5A6D">
      <w:pPr>
        <w:numPr>
          <w:ilvl w:val="0"/>
          <w:numId w:val="10"/>
        </w:numPr>
      </w:pPr>
      <w:r w:rsidRPr="00D40DC4">
        <w:t>a projekt helyszíne,</w:t>
      </w:r>
    </w:p>
    <w:p w:rsidR="00EB31EC" w:rsidRPr="00D40DC4" w:rsidRDefault="00EB31EC" w:rsidP="006C5A6D">
      <w:pPr>
        <w:numPr>
          <w:ilvl w:val="0"/>
          <w:numId w:val="10"/>
        </w:numPr>
      </w:pPr>
      <w:r w:rsidRPr="00D40DC4">
        <w:t>a projekt mérete,</w:t>
      </w:r>
    </w:p>
    <w:p w:rsidR="00EB31EC" w:rsidRPr="00D40DC4" w:rsidRDefault="00EB31EC" w:rsidP="006C5A6D">
      <w:pPr>
        <w:numPr>
          <w:ilvl w:val="0"/>
          <w:numId w:val="10"/>
        </w:numPr>
      </w:pPr>
      <w:r w:rsidRPr="00D40DC4">
        <w:t>a megvalósítás ütemezése,</w:t>
      </w:r>
    </w:p>
    <w:p w:rsidR="00EB31EC" w:rsidRPr="00D40DC4" w:rsidRDefault="00EB31EC" w:rsidP="006C5A6D">
      <w:pPr>
        <w:numPr>
          <w:ilvl w:val="0"/>
          <w:numId w:val="10"/>
        </w:numPr>
      </w:pPr>
      <w:r w:rsidRPr="00D40DC4">
        <w:t>a projekt pénzügyi háttere, jellemzői,</w:t>
      </w:r>
    </w:p>
    <w:p w:rsidR="00EB31EC" w:rsidRPr="00D40DC4" w:rsidRDefault="00EB31EC" w:rsidP="006C5A6D">
      <w:pPr>
        <w:numPr>
          <w:ilvl w:val="0"/>
          <w:numId w:val="8"/>
        </w:numPr>
      </w:pPr>
      <w:r w:rsidRPr="00D40DC4">
        <w:t>a projekt intézményi sajátosságai.</w:t>
      </w:r>
    </w:p>
    <w:p w:rsidR="00574470" w:rsidRPr="00D40DC4" w:rsidRDefault="00574470" w:rsidP="00574470">
      <w:pPr>
        <w:rPr>
          <w:rFonts w:cs="Arial"/>
        </w:rPr>
      </w:pPr>
    </w:p>
    <w:p w:rsidR="00574470" w:rsidRPr="00D40DC4" w:rsidRDefault="00574470" w:rsidP="00574470">
      <w:pPr>
        <w:rPr>
          <w:rFonts w:cs="Arial"/>
        </w:rPr>
      </w:pPr>
      <w:r w:rsidRPr="00D40DC4">
        <w:rPr>
          <w:rFonts w:cs="Arial"/>
        </w:rPr>
        <w:t>Összefoglaló, áttekintő jelleggel meg kell adni az egyes változatelemzési szakaszokban vizsgált változatok közti főbb eltéréseket, az adott szakaszban alkalmazott változatelemzési módszert.</w:t>
      </w:r>
    </w:p>
    <w:p w:rsidR="00574470" w:rsidRPr="00D40DC4" w:rsidRDefault="00574470" w:rsidP="00574470">
      <w:pPr>
        <w:rPr>
          <w:rFonts w:cs="Arial"/>
        </w:rPr>
      </w:pPr>
      <w:r w:rsidRPr="00D40DC4">
        <w:rPr>
          <w:rFonts w:cs="Arial"/>
        </w:rPr>
        <w:t>Minden egyes szakasz esetében – az alkalmazott módszer bonyolultságának megfelelően - be kell mutatni:</w:t>
      </w:r>
    </w:p>
    <w:p w:rsidR="00574470" w:rsidRPr="00D40DC4" w:rsidRDefault="00574470" w:rsidP="006C5A6D">
      <w:pPr>
        <w:numPr>
          <w:ilvl w:val="0"/>
          <w:numId w:val="9"/>
        </w:numPr>
      </w:pPr>
      <w:r w:rsidRPr="00D40DC4">
        <w:t>az adott szakaszban a változatok meghatározásának módját,</w:t>
      </w:r>
    </w:p>
    <w:p w:rsidR="00574470" w:rsidRPr="00D40DC4" w:rsidRDefault="00574470" w:rsidP="006C5A6D">
      <w:pPr>
        <w:numPr>
          <w:ilvl w:val="0"/>
          <w:numId w:val="8"/>
        </w:numPr>
      </w:pPr>
      <w:r w:rsidRPr="00D40DC4">
        <w:t>a változatok főbb jellemzői,</w:t>
      </w:r>
    </w:p>
    <w:p w:rsidR="00574470" w:rsidRPr="00D40DC4" w:rsidRDefault="00574470" w:rsidP="006C5A6D">
      <w:pPr>
        <w:numPr>
          <w:ilvl w:val="0"/>
          <w:numId w:val="8"/>
        </w:numPr>
      </w:pPr>
      <w:r w:rsidRPr="00D40DC4">
        <w:t>a változatelemzési módszertant.</w:t>
      </w:r>
    </w:p>
    <w:p w:rsidR="00574470" w:rsidRPr="00D40DC4" w:rsidRDefault="00574470" w:rsidP="00574470">
      <w:pPr>
        <w:rPr>
          <w:rFonts w:cs="Arial"/>
        </w:rPr>
      </w:pPr>
    </w:p>
    <w:p w:rsidR="00322396" w:rsidRPr="00D40DC4" w:rsidRDefault="00322396" w:rsidP="00DD7E6C">
      <w:pPr>
        <w:pStyle w:val="Cmsor2"/>
      </w:pPr>
      <w:r w:rsidRPr="00D40DC4">
        <w:t xml:space="preserve"> </w:t>
      </w:r>
      <w:bookmarkStart w:id="340" w:name="_Toc241657509"/>
      <w:bookmarkStart w:id="341" w:name="_Toc228260730"/>
      <w:bookmarkStart w:id="342" w:name="_Toc436923889"/>
      <w:r w:rsidRPr="00D40DC4">
        <w:t>A változatelemzés módszere</w:t>
      </w:r>
      <w:bookmarkEnd w:id="340"/>
      <w:bookmarkEnd w:id="341"/>
      <w:bookmarkEnd w:id="342"/>
    </w:p>
    <w:p w:rsidR="00D67498" w:rsidRPr="00D40DC4" w:rsidRDefault="0025401E" w:rsidP="00436DF9">
      <w:pPr>
        <w:rPr>
          <w:rFonts w:cs="Arial"/>
        </w:rPr>
      </w:pPr>
      <w:r w:rsidRPr="00D40DC4">
        <w:rPr>
          <w:rFonts w:cs="Arial"/>
        </w:rPr>
        <w:t>A változatelemzés célja az általánosságban megvalósíthatónak ítélt különböző megvalósítható változatok értékelése és összevetése a projekt iránt meglévő jelenlegi és jövőbeni szükségletek kielégítése és a lehető legjobb megoldás megvalósítása érdekében. A változatokat különböző szempontok, többek között műszaki, intézményi, gazdasági, környezetvédelmi és az éghajlatváltozással kapcsolatos kritériumok alapján kell összehasonlítani.</w:t>
      </w:r>
    </w:p>
    <w:p w:rsidR="00D67498" w:rsidRPr="00D40DC4" w:rsidRDefault="00D67498" w:rsidP="00436DF9">
      <w:pPr>
        <w:rPr>
          <w:rFonts w:cs="Arial"/>
        </w:rPr>
      </w:pPr>
      <w:r w:rsidRPr="00D40DC4">
        <w:t>A változatelemzést két lépésben kell elvégezni; első lépésben az alapvető stratégiai változatokat (vagyis a projekt infrastruktúrájának és helyszínének típusát) vizsgálják meg, majd a második lépésben a konkrét megoldásokat műszaki szempontból értékelik. Az első lépés általában több (főleg minőségi) szemponton alapuló elemzés, míg a második lépés többnyire elsősorban kvantitatív módszereket alkalmaz.</w:t>
      </w:r>
    </w:p>
    <w:p w:rsidR="00D67498" w:rsidRPr="00D40DC4" w:rsidRDefault="00D67498" w:rsidP="00D67498">
      <w:pPr>
        <w:spacing w:after="160" w:line="259" w:lineRule="auto"/>
        <w:jc w:val="left"/>
      </w:pPr>
      <w:r w:rsidRPr="00D40DC4">
        <w:t>A legjobb változat kiválasztásának alapvető szempontjai:</w:t>
      </w:r>
    </w:p>
    <w:p w:rsidR="00D67498" w:rsidRPr="00D40DC4" w:rsidRDefault="00D67498" w:rsidP="006C5A6D">
      <w:pPr>
        <w:numPr>
          <w:ilvl w:val="0"/>
          <w:numId w:val="7"/>
        </w:numPr>
      </w:pPr>
      <w:r w:rsidRPr="00D40DC4">
        <w:t xml:space="preserve">a tervezett megoldás megfelelő alátámasztása érdekében igazolják, hogy a kiválasztott változat a műszaki megvalósíthatósági vizsgálat során megvizsgált lehetőségek közül a legoptimálisabb; </w:t>
      </w:r>
    </w:p>
    <w:p w:rsidR="00D67498" w:rsidRPr="00D40DC4" w:rsidRDefault="00D67498" w:rsidP="006C5A6D">
      <w:pPr>
        <w:numPr>
          <w:ilvl w:val="0"/>
          <w:numId w:val="7"/>
        </w:numPr>
      </w:pPr>
      <w:r w:rsidRPr="00D40DC4">
        <w:t xml:space="preserve">ha több változat ugyanazt az egyedi célt szolgálja és ugyanazok vagy nagyon hasonló externális hatások jellemzik őket, költséghatékonysági elemzés (CEA) alkalmazása javasolt; </w:t>
      </w:r>
    </w:p>
    <w:p w:rsidR="00D67498" w:rsidRPr="00D40DC4" w:rsidRDefault="00D67498" w:rsidP="006C5A6D">
      <w:pPr>
        <w:numPr>
          <w:ilvl w:val="0"/>
          <w:numId w:val="7"/>
        </w:numPr>
      </w:pPr>
      <w:r w:rsidRPr="00D40DC4">
        <w:t>ha az egyes változatok teljesítménye és externális hatásai eltérők (feltételezve, hogy az céljuk azonos), egyszerűsített költség-haszon elemzés alkalmazása javasolt az összes fő változat vonatkozásában annak megállapításával, hogy társadalmi-gazdasági szempontból melyik a kedvezőbb; a kiválasztásnak a projekt közgazdasági paraméterein, többek között közgazdasági nettó jelenértékén kell alapulnia.</w:t>
      </w:r>
    </w:p>
    <w:p w:rsidR="00322396" w:rsidRPr="00D40DC4" w:rsidRDefault="00D67498" w:rsidP="008E60FC">
      <w:r w:rsidRPr="00D40DC4">
        <w:t>Az egyszerűsített költség-haszon elemzést a legfontosabb pénzügyi és közgazdasági adatokra – többek között a szükségletekre, a beruházási és üzemeltetési költségekre, bevételekre, közvetlen hasznokra, illetve externális hatásokra – vonatkozó közelítő becslések alapján kell elvégezni.</w:t>
      </w:r>
    </w:p>
    <w:p w:rsidR="00322396" w:rsidRPr="00D40DC4" w:rsidRDefault="00322396" w:rsidP="00221929">
      <w:pPr>
        <w:rPr>
          <w:rFonts w:cs="Arial"/>
        </w:rPr>
      </w:pPr>
      <w:r w:rsidRPr="00D40DC4">
        <w:rPr>
          <w:rFonts w:cs="Arial"/>
        </w:rPr>
        <w:t xml:space="preserve">A projektváltozatok szűrése </w:t>
      </w:r>
      <w:r w:rsidR="00D67498" w:rsidRPr="00D40DC4">
        <w:rPr>
          <w:rFonts w:cs="Arial"/>
        </w:rPr>
        <w:t xml:space="preserve">annak alapján </w:t>
      </w:r>
      <w:r w:rsidRPr="00D40DC4">
        <w:rPr>
          <w:rFonts w:cs="Arial"/>
        </w:rPr>
        <w:t xml:space="preserve">történik meg, hogy illeszkedik-e az EU-támogatásokra vonatkozó előírásokhoz. </w:t>
      </w:r>
    </w:p>
    <w:p w:rsidR="00322396" w:rsidRPr="00D40DC4" w:rsidRDefault="00322396" w:rsidP="00221929">
      <w:pPr>
        <w:rPr>
          <w:rFonts w:cs="Arial"/>
        </w:rPr>
      </w:pPr>
      <w:r w:rsidRPr="00D40DC4">
        <w:rPr>
          <w:rFonts w:cs="Arial"/>
        </w:rPr>
        <w:t>Az illeszkedés vizsgálata a következő kérdések elemzését jelentheti:</w:t>
      </w:r>
    </w:p>
    <w:p w:rsidR="00322396" w:rsidRPr="00D40DC4" w:rsidRDefault="00322396" w:rsidP="006C5A6D">
      <w:pPr>
        <w:numPr>
          <w:ilvl w:val="0"/>
          <w:numId w:val="7"/>
        </w:numPr>
      </w:pPr>
      <w:r w:rsidRPr="00D40DC4">
        <w:t>a vizsgált változat gazdasági vagy műszaki természetű oszthatatlan feladatnak tekinthető-e;</w:t>
      </w:r>
    </w:p>
    <w:p w:rsidR="00322396" w:rsidRPr="00D40DC4" w:rsidRDefault="00322396" w:rsidP="006C5A6D">
      <w:pPr>
        <w:numPr>
          <w:ilvl w:val="0"/>
          <w:numId w:val="7"/>
        </w:numPr>
      </w:pPr>
      <w:r w:rsidRPr="00D40DC4">
        <w:lastRenderedPageBreak/>
        <w:t>egyértelműen meghatározott célkitűzésekkel rendelkezik-e;</w:t>
      </w:r>
    </w:p>
    <w:p w:rsidR="00322396" w:rsidRPr="00D40DC4" w:rsidRDefault="00322396" w:rsidP="00221929">
      <w:pPr>
        <w:rPr>
          <w:rFonts w:cs="Arial"/>
        </w:rPr>
      </w:pPr>
      <w:r w:rsidRPr="00D40DC4">
        <w:rPr>
          <w:rFonts w:cs="Arial"/>
        </w:rPr>
        <w:t>A műszakilag és jogilag megvalósítható változatok esetében az EU útmutatót figyelembe véve a változatok elemzése az alábbi módokon történhet:</w:t>
      </w:r>
    </w:p>
    <w:p w:rsidR="00322396" w:rsidRPr="00D40DC4" w:rsidRDefault="00322396" w:rsidP="006C5A6D">
      <w:pPr>
        <w:numPr>
          <w:ilvl w:val="0"/>
          <w:numId w:val="6"/>
        </w:numPr>
      </w:pPr>
      <w:r w:rsidRPr="00D40DC4">
        <w:t>Költség-hatékonyság elemzés;</w:t>
      </w:r>
    </w:p>
    <w:p w:rsidR="00322396" w:rsidRPr="00D40DC4" w:rsidRDefault="00322396" w:rsidP="006C5A6D">
      <w:pPr>
        <w:numPr>
          <w:ilvl w:val="0"/>
          <w:numId w:val="6"/>
        </w:numPr>
      </w:pPr>
      <w:r w:rsidRPr="00D40DC4">
        <w:t>Költség-haszon elemzés;</w:t>
      </w:r>
    </w:p>
    <w:p w:rsidR="00322396" w:rsidRPr="00D40DC4" w:rsidRDefault="00322396" w:rsidP="006C5A6D">
      <w:pPr>
        <w:numPr>
          <w:ilvl w:val="0"/>
          <w:numId w:val="6"/>
        </w:numPr>
      </w:pPr>
      <w:r w:rsidRPr="00D40DC4">
        <w:t>Többszempontú értékelés.</w:t>
      </w:r>
    </w:p>
    <w:p w:rsidR="00322396" w:rsidRPr="00D40DC4" w:rsidRDefault="00322396" w:rsidP="00221929">
      <w:pPr>
        <w:rPr>
          <w:rFonts w:cs="Arial"/>
        </w:rPr>
      </w:pPr>
      <w:r w:rsidRPr="00D40DC4">
        <w:rPr>
          <w:rFonts w:cs="Arial"/>
        </w:rPr>
        <w:t xml:space="preserve">A változatelemzés során a költségek becslése közgazdasági költségként történik. </w:t>
      </w:r>
    </w:p>
    <w:p w:rsidR="00322396" w:rsidRPr="00D40DC4" w:rsidRDefault="00322396" w:rsidP="00221929">
      <w:pPr>
        <w:rPr>
          <w:rFonts w:cs="Arial"/>
        </w:rPr>
      </w:pPr>
      <w:r w:rsidRPr="00D40DC4">
        <w:rPr>
          <w:rFonts w:cs="Arial"/>
        </w:rPr>
        <w:t>A változatelemzés során alkalmazott módszer kiválasztásában az alábbi ábra nyújt segítséget</w:t>
      </w:r>
    </w:p>
    <w:p w:rsidR="00322396" w:rsidRPr="00D40DC4" w:rsidRDefault="00322396" w:rsidP="00221929">
      <w:pPr>
        <w:rPr>
          <w:rFonts w:cs="Arial"/>
        </w:rPr>
      </w:pPr>
    </w:p>
    <w:p w:rsidR="00322396" w:rsidRPr="00D40DC4" w:rsidRDefault="00322396" w:rsidP="00221929">
      <w:pPr>
        <w:rPr>
          <w:rFonts w:cs="Arial"/>
        </w:rPr>
        <w:sectPr w:rsidR="00322396" w:rsidRPr="00D40DC4" w:rsidSect="00EF313B">
          <w:footerReference w:type="default" r:id="rId17"/>
          <w:footerReference w:type="first" r:id="rId18"/>
          <w:pgSz w:w="11906" w:h="16838"/>
          <w:pgMar w:top="1417" w:right="1417" w:bottom="1417" w:left="1417" w:header="708" w:footer="757" w:gutter="0"/>
          <w:cols w:space="708"/>
          <w:titlePg/>
          <w:docGrid w:linePitch="360"/>
        </w:sectPr>
      </w:pPr>
    </w:p>
    <w:p w:rsidR="00322396" w:rsidRPr="00D40DC4" w:rsidRDefault="002C4DE0" w:rsidP="00E8437F">
      <w:r>
        <w:lastRenderedPageBreak/>
        <w:fldChar w:fldCharType="begin"/>
      </w:r>
      <w:r>
        <w:instrText xml:space="preserve"> SEQ ábra \* ARABIC </w:instrText>
      </w:r>
      <w:r>
        <w:fldChar w:fldCharType="separate"/>
      </w:r>
      <w:bookmarkStart w:id="343" w:name="_Toc436923928"/>
      <w:r w:rsidR="007B4938" w:rsidRPr="00D40DC4">
        <w:rPr>
          <w:noProof/>
        </w:rPr>
        <w:t>2</w:t>
      </w:r>
      <w:r>
        <w:rPr>
          <w:noProof/>
        </w:rPr>
        <w:fldChar w:fldCharType="end"/>
      </w:r>
      <w:bookmarkStart w:id="344" w:name="_Toc426985508"/>
      <w:r w:rsidR="0098147B" w:rsidRPr="00D40DC4">
        <w:t>. ábra: A változatelemzés során alkalmazandó módszerek</w:t>
      </w:r>
      <w:bookmarkEnd w:id="343"/>
      <w:bookmarkEnd w:id="344"/>
    </w:p>
    <w:p w:rsidR="00322396" w:rsidRPr="00D40DC4" w:rsidRDefault="00322396" w:rsidP="00221929">
      <w:pPr>
        <w:rPr>
          <w:rFonts w:cs="Arial"/>
        </w:rPr>
      </w:pPr>
      <w:r w:rsidRPr="00D40DC4">
        <w:rPr>
          <w:rFonts w:cs="Arial"/>
          <w:noProof/>
          <w:lang w:eastAsia="hu-HU"/>
        </w:rPr>
        <mc:AlternateContent>
          <mc:Choice Requires="wpc">
            <w:drawing>
              <wp:inline distT="0" distB="0" distL="0" distR="0" wp14:anchorId="621B682C" wp14:editId="5078547F">
                <wp:extent cx="8892540" cy="5550765"/>
                <wp:effectExtent l="0" t="0" r="0" b="12065"/>
                <wp:docPr id="75" name="Vászon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1" name="Text Box 77"/>
                        <wps:cNvSpPr txBox="1">
                          <a:spLocks noChangeArrowheads="1"/>
                        </wps:cNvSpPr>
                        <wps:spPr bwMode="auto">
                          <a:xfrm>
                            <a:off x="572035" y="36000"/>
                            <a:ext cx="2285694" cy="451595"/>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A projekt céljának meghatározottsága</w:t>
                              </w:r>
                            </w:p>
                          </w:txbxContent>
                        </wps:txbx>
                        <wps:bodyPr rot="0" vert="horz" wrap="square" lIns="91440" tIns="45720" rIns="91440" bIns="45720" anchor="t" anchorCtr="0" upright="1">
                          <a:noAutofit/>
                        </wps:bodyPr>
                      </wps:wsp>
                      <wps:wsp>
                        <wps:cNvPr id="232" name="Text Box 78"/>
                        <wps:cNvSpPr txBox="1">
                          <a:spLocks noChangeArrowheads="1"/>
                        </wps:cNvSpPr>
                        <wps:spPr bwMode="auto">
                          <a:xfrm>
                            <a:off x="3543438" y="36000"/>
                            <a:ext cx="2057125" cy="451595"/>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 xml:space="preserve">Hatások/hasznok jellege </w:t>
                              </w:r>
                            </w:p>
                          </w:txbxContent>
                        </wps:txbx>
                        <wps:bodyPr rot="0" vert="horz" wrap="square" lIns="91440" tIns="45720" rIns="91440" bIns="45720" anchor="t" anchorCtr="0" upright="1">
                          <a:noAutofit/>
                        </wps:bodyPr>
                      </wps:wsp>
                      <wps:wsp>
                        <wps:cNvPr id="233" name="Text Box 79"/>
                        <wps:cNvSpPr txBox="1">
                          <a:spLocks noChangeArrowheads="1"/>
                        </wps:cNvSpPr>
                        <wps:spPr bwMode="auto">
                          <a:xfrm>
                            <a:off x="6286271" y="36000"/>
                            <a:ext cx="2285694" cy="451595"/>
                          </a:xfrm>
                          <a:prstGeom prst="rect">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Alkalmazandó módszer</w:t>
                              </w:r>
                            </w:p>
                          </w:txbxContent>
                        </wps:txbx>
                        <wps:bodyPr rot="0" vert="horz" wrap="square" lIns="91440" tIns="45720" rIns="91440" bIns="45720" anchor="t" anchorCtr="0" upright="1">
                          <a:noAutofit/>
                        </wps:bodyPr>
                      </wps:wsp>
                      <wps:wsp>
                        <wps:cNvPr id="234" name="Text Box 80"/>
                        <wps:cNvSpPr txBox="1">
                          <a:spLocks noChangeArrowheads="1"/>
                        </wps:cNvSpPr>
                        <wps:spPr bwMode="auto">
                          <a:xfrm>
                            <a:off x="1257743" y="647053"/>
                            <a:ext cx="1599986" cy="2018181"/>
                          </a:xfrm>
                          <a:prstGeom prst="rect">
                            <a:avLst/>
                          </a:prstGeom>
                          <a:noFill/>
                          <a:ln w="9525">
                            <a:solidFill>
                              <a:srgbClr val="000000"/>
                            </a:solidFill>
                            <a:miter lim="800000"/>
                            <a:headEnd/>
                            <a:tailEnd/>
                          </a:ln>
                          <a:extLst>
                            <a:ext uri="{909E8E84-426E-40DD-AFC4-6F175D3DCCD1}">
                              <a14:hiddenFill xmlns:a14="http://schemas.microsoft.com/office/drawing/2010/main">
                                <a:gradFill rotWithShape="1">
                                  <a:gsLst>
                                    <a:gs pos="0">
                                      <a:srgbClr val="FFFFFF">
                                        <a:gamma/>
                                        <a:shade val="46275"/>
                                        <a:invGamma/>
                                      </a:srgbClr>
                                    </a:gs>
                                    <a:gs pos="50000">
                                      <a:srgbClr val="FFFFFF"/>
                                    </a:gs>
                                    <a:gs pos="100000">
                                      <a:srgbClr val="FFFFFF">
                                        <a:gamma/>
                                        <a:shade val="46275"/>
                                        <a:invGamma/>
                                      </a:srgbClr>
                                    </a:gs>
                                  </a:gsLst>
                                  <a:lin ang="0" scaled="1"/>
                                </a:gradFill>
                              </a14:hiddenFill>
                            </a:ext>
                          </a:extLst>
                        </wps:spPr>
                        <wps:txbx>
                          <w:txbxContent>
                            <w:p w:rsidR="00657272" w:rsidRPr="0098147B" w:rsidRDefault="00657272" w:rsidP="00221929">
                              <w:pPr>
                                <w:rPr>
                                  <w:sz w:val="18"/>
                                  <w:szCs w:val="18"/>
                                </w:rPr>
                              </w:pPr>
                              <w:r w:rsidRPr="0098147B">
                                <w:rPr>
                                  <w:sz w:val="18"/>
                                  <w:szCs w:val="18"/>
                                </w:rPr>
                                <w:t>A projekt vagy projekt elem konkrét célját nem kell a változat elemzés során meghatározni, az már adottság, jogszabály vagy stratégia meghatározza</w:t>
                              </w:r>
                            </w:p>
                            <w:p w:rsidR="00657272" w:rsidRPr="0098147B" w:rsidRDefault="00657272" w:rsidP="00221929">
                              <w:pPr>
                                <w:rPr>
                                  <w:sz w:val="18"/>
                                  <w:szCs w:val="18"/>
                                </w:rPr>
                              </w:pPr>
                              <w:r w:rsidRPr="0098147B">
                                <w:rPr>
                                  <w:sz w:val="18"/>
                                  <w:szCs w:val="18"/>
                                </w:rPr>
                                <w:t>(ekkor a változatok a megoldásokban különböznek)</w:t>
                              </w:r>
                            </w:p>
                          </w:txbxContent>
                        </wps:txbx>
                        <wps:bodyPr rot="0" vert="horz" wrap="square" lIns="36000" tIns="36000" rIns="36000" bIns="36000" anchor="t" anchorCtr="0" upright="1">
                          <a:noAutofit/>
                        </wps:bodyPr>
                      </wps:wsp>
                      <wps:wsp>
                        <wps:cNvPr id="235" name="Text Box 81"/>
                        <wps:cNvSpPr txBox="1">
                          <a:spLocks noChangeArrowheads="1"/>
                        </wps:cNvSpPr>
                        <wps:spPr bwMode="auto">
                          <a:xfrm>
                            <a:off x="1257743" y="2894076"/>
                            <a:ext cx="1599986" cy="2628018"/>
                          </a:xfrm>
                          <a:prstGeom prst="rect">
                            <a:avLst/>
                          </a:prstGeom>
                          <a:noFill/>
                          <a:ln w="9525">
                            <a:solidFill>
                              <a:srgbClr val="000000"/>
                            </a:solidFill>
                            <a:miter lim="800000"/>
                            <a:headEnd/>
                            <a:tailEnd/>
                          </a:ln>
                          <a:extLst>
                            <a:ext uri="{909E8E84-426E-40DD-AFC4-6F175D3DCCD1}">
                              <a14:hiddenFill xmlns:a14="http://schemas.microsoft.com/office/drawing/2010/main">
                                <a:gradFill rotWithShape="1">
                                  <a:gsLst>
                                    <a:gs pos="0">
                                      <a:srgbClr val="FFFFFF">
                                        <a:gamma/>
                                        <a:shade val="46275"/>
                                        <a:invGamma/>
                                      </a:srgbClr>
                                    </a:gs>
                                    <a:gs pos="50000">
                                      <a:srgbClr val="FFFFFF"/>
                                    </a:gs>
                                    <a:gs pos="100000">
                                      <a:srgbClr val="FFFFFF">
                                        <a:gamma/>
                                        <a:shade val="46275"/>
                                        <a:invGamma/>
                                      </a:srgbClr>
                                    </a:gs>
                                  </a:gsLst>
                                  <a:lin ang="0" scaled="1"/>
                                </a:gradFill>
                              </a14:hiddenFill>
                            </a:ext>
                          </a:extLst>
                        </wps:spPr>
                        <wps:txbx>
                          <w:txbxContent>
                            <w:p w:rsidR="00657272" w:rsidRPr="0098147B" w:rsidRDefault="00657272" w:rsidP="00221929">
                              <w:pPr>
                                <w:rPr>
                                  <w:sz w:val="18"/>
                                  <w:szCs w:val="18"/>
                                </w:rPr>
                              </w:pPr>
                              <w:r w:rsidRPr="0098147B">
                                <w:rPr>
                                  <w:sz w:val="18"/>
                                  <w:szCs w:val="18"/>
                                </w:rPr>
                                <w:t>A projekt vagy projekt elem konkrét célját is a változat elemzés során kell meghatározni, jogszabályi előírás vagy stratégia szerint</w:t>
                              </w:r>
                            </w:p>
                            <w:p w:rsidR="00657272" w:rsidRPr="0098147B" w:rsidRDefault="00657272" w:rsidP="00221929">
                              <w:pPr>
                                <w:rPr>
                                  <w:sz w:val="18"/>
                                  <w:szCs w:val="18"/>
                                </w:rPr>
                              </w:pPr>
                              <w:r w:rsidRPr="0098147B">
                                <w:rPr>
                                  <w:sz w:val="18"/>
                                  <w:szCs w:val="18"/>
                                </w:rPr>
                                <w:t>(ekkor a változatok különbözhetnek a célokban és a megoldásokban, amelyeket egy vagy több lépcsőben is lehet elemezni)</w:t>
                              </w:r>
                            </w:p>
                          </w:txbxContent>
                        </wps:txbx>
                        <wps:bodyPr rot="0" vert="horz" wrap="square" lIns="36000" tIns="36000" rIns="36000" bIns="36000" anchor="t" anchorCtr="0" upright="1">
                          <a:noAutofit/>
                        </wps:bodyPr>
                      </wps:wsp>
                      <wps:wsp>
                        <wps:cNvPr id="236" name="AutoShape 82"/>
                        <wps:cNvSpPr>
                          <a:spLocks noChangeArrowheads="1"/>
                        </wps:cNvSpPr>
                        <wps:spPr bwMode="auto">
                          <a:xfrm>
                            <a:off x="2857729" y="950146"/>
                            <a:ext cx="685708" cy="457682"/>
                          </a:xfrm>
                          <a:prstGeom prst="rightArrow">
                            <a:avLst>
                              <a:gd name="adj1" fmla="val 50000"/>
                              <a:gd name="adj2" fmla="val 3730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7" name="AutoShape 83"/>
                        <wps:cNvSpPr>
                          <a:spLocks noChangeArrowheads="1"/>
                        </wps:cNvSpPr>
                        <wps:spPr bwMode="auto">
                          <a:xfrm>
                            <a:off x="2857729" y="4493527"/>
                            <a:ext cx="685708" cy="456464"/>
                          </a:xfrm>
                          <a:prstGeom prst="rightArrow">
                            <a:avLst>
                              <a:gd name="adj1" fmla="val 50000"/>
                              <a:gd name="adj2" fmla="val 3740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8" name="AutoShape 84"/>
                        <wps:cNvSpPr>
                          <a:spLocks noChangeArrowheads="1"/>
                        </wps:cNvSpPr>
                        <wps:spPr bwMode="auto">
                          <a:xfrm>
                            <a:off x="2857729" y="3007279"/>
                            <a:ext cx="685708" cy="458899"/>
                          </a:xfrm>
                          <a:prstGeom prst="rightArrow">
                            <a:avLst>
                              <a:gd name="adj1" fmla="val 50000"/>
                              <a:gd name="adj2" fmla="val 37202"/>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9" name="AutoShape 85"/>
                        <wps:cNvSpPr>
                          <a:spLocks noChangeArrowheads="1"/>
                        </wps:cNvSpPr>
                        <wps:spPr bwMode="auto">
                          <a:xfrm>
                            <a:off x="2857729" y="1978712"/>
                            <a:ext cx="685708" cy="457682"/>
                          </a:xfrm>
                          <a:prstGeom prst="rightArrow">
                            <a:avLst>
                              <a:gd name="adj1" fmla="val 50000"/>
                              <a:gd name="adj2" fmla="val 3730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40" name="Text Box 86"/>
                        <wps:cNvSpPr txBox="1">
                          <a:spLocks noChangeArrowheads="1"/>
                        </wps:cNvSpPr>
                        <wps:spPr bwMode="auto">
                          <a:xfrm>
                            <a:off x="3543438" y="647053"/>
                            <a:ext cx="2057125" cy="988398"/>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A projekt eredménye egyfajta hatással leírható, a cél túlteljesítése nem eredményez nagymértékű haszon növekedést és nincs jelentős különbség az externáliák tekintetében</w:t>
                              </w:r>
                            </w:p>
                          </w:txbxContent>
                        </wps:txbx>
                        <wps:bodyPr rot="0" vert="horz" wrap="square" lIns="36000" tIns="36000" rIns="36000" bIns="36000" anchor="t" anchorCtr="0" upright="1">
                          <a:noAutofit/>
                        </wps:bodyPr>
                      </wps:wsp>
                      <wps:wsp>
                        <wps:cNvPr id="241" name="Text Box 87"/>
                        <wps:cNvSpPr txBox="1">
                          <a:spLocks noChangeArrowheads="1"/>
                        </wps:cNvSpPr>
                        <wps:spPr bwMode="auto">
                          <a:xfrm>
                            <a:off x="6286271" y="647053"/>
                            <a:ext cx="2285694" cy="988398"/>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Default="00657272" w:rsidP="00221929">
                              <w:pPr>
                                <w:rPr>
                                  <w:sz w:val="18"/>
                                  <w:szCs w:val="18"/>
                                </w:rPr>
                              </w:pPr>
                            </w:p>
                            <w:p w:rsidR="00657272" w:rsidRPr="0098147B" w:rsidRDefault="00657272" w:rsidP="00221929">
                              <w:pPr>
                                <w:rPr>
                                  <w:sz w:val="18"/>
                                  <w:szCs w:val="18"/>
                                </w:rPr>
                              </w:pPr>
                              <w:r w:rsidRPr="0098147B">
                                <w:rPr>
                                  <w:sz w:val="18"/>
                                  <w:szCs w:val="18"/>
                                </w:rPr>
                                <w:t>Legkisebb költség</w:t>
                              </w:r>
                              <w:r w:rsidRPr="0098147B" w:rsidDel="00077B78">
                                <w:rPr>
                                  <w:sz w:val="18"/>
                                  <w:szCs w:val="18"/>
                                </w:rPr>
                                <w:t xml:space="preserve"> </w:t>
                              </w: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42" name="Text Box 88"/>
                        <wps:cNvSpPr txBox="1">
                          <a:spLocks noChangeArrowheads="1"/>
                        </wps:cNvSpPr>
                        <wps:spPr bwMode="auto">
                          <a:xfrm>
                            <a:off x="6286271" y="647053"/>
                            <a:ext cx="2063236" cy="303092"/>
                          </a:xfrm>
                          <a:prstGeom prst="rect">
                            <a:avLst/>
                          </a:prstGeom>
                          <a:solidFill>
                            <a:srgbClr val="C0C0C0"/>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Költség-hatékonyság elemzés</w:t>
                              </w:r>
                            </w:p>
                          </w:txbxContent>
                        </wps:txbx>
                        <wps:bodyPr rot="0" vert="horz" wrap="square" lIns="36000" tIns="36000" rIns="36000" bIns="36000" anchor="t" anchorCtr="0" upright="1">
                          <a:noAutofit/>
                        </wps:bodyPr>
                      </wps:wsp>
                      <wps:wsp>
                        <wps:cNvPr id="243" name="AutoShape 89"/>
                        <wps:cNvSpPr>
                          <a:spLocks noChangeArrowheads="1"/>
                        </wps:cNvSpPr>
                        <wps:spPr bwMode="auto">
                          <a:xfrm>
                            <a:off x="5600562" y="950146"/>
                            <a:ext cx="685708" cy="457682"/>
                          </a:xfrm>
                          <a:prstGeom prst="rightArrow">
                            <a:avLst>
                              <a:gd name="adj1" fmla="val 50000"/>
                              <a:gd name="adj2" fmla="val 3730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44" name="Text Box 90"/>
                        <wps:cNvSpPr txBox="1">
                          <a:spLocks noChangeArrowheads="1"/>
                        </wps:cNvSpPr>
                        <wps:spPr bwMode="auto">
                          <a:xfrm>
                            <a:off x="3543438" y="1877681"/>
                            <a:ext cx="2057125" cy="787553"/>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csak komplexen, több hatással együttesen leírható</w:t>
                              </w: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45" name="AutoShape 91"/>
                        <wps:cNvSpPr>
                          <a:spLocks noChangeArrowheads="1"/>
                        </wps:cNvSpPr>
                        <wps:spPr bwMode="auto">
                          <a:xfrm>
                            <a:off x="5600562" y="1978712"/>
                            <a:ext cx="685708" cy="457682"/>
                          </a:xfrm>
                          <a:prstGeom prst="rightArrow">
                            <a:avLst>
                              <a:gd name="adj1" fmla="val 50000"/>
                              <a:gd name="adj2" fmla="val 3730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46" name="Text Box 92"/>
                        <wps:cNvSpPr txBox="1">
                          <a:spLocks noChangeArrowheads="1"/>
                        </wps:cNvSpPr>
                        <wps:spPr bwMode="auto">
                          <a:xfrm>
                            <a:off x="6286271" y="1864292"/>
                            <a:ext cx="2285694" cy="800943"/>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47" name="Text Box 93"/>
                        <wps:cNvSpPr txBox="1">
                          <a:spLocks noChangeArrowheads="1"/>
                        </wps:cNvSpPr>
                        <wps:spPr bwMode="auto">
                          <a:xfrm>
                            <a:off x="6286271" y="1864264"/>
                            <a:ext cx="2063236" cy="261815"/>
                          </a:xfrm>
                          <a:prstGeom prst="rect">
                            <a:avLst/>
                          </a:prstGeom>
                          <a:solidFill>
                            <a:srgbClr val="C0C0C0"/>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Többszempontú értékelés</w:t>
                              </w:r>
                            </w:p>
                          </w:txbxContent>
                        </wps:txbx>
                        <wps:bodyPr rot="0" vert="horz" wrap="square" lIns="36000" tIns="36000" rIns="36000" bIns="36000" anchor="t" anchorCtr="0" upright="1">
                          <a:noAutofit/>
                        </wps:bodyPr>
                      </wps:wsp>
                      <wps:wsp>
                        <wps:cNvPr id="248" name="Text Box 94"/>
                        <wps:cNvSpPr txBox="1">
                          <a:spLocks noChangeArrowheads="1"/>
                        </wps:cNvSpPr>
                        <wps:spPr bwMode="auto">
                          <a:xfrm>
                            <a:off x="6286271" y="3808222"/>
                            <a:ext cx="2285694" cy="799726"/>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highlight w:val="yellow"/>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49" name="Text Box 95"/>
                        <wps:cNvSpPr txBox="1">
                          <a:spLocks noChangeArrowheads="1"/>
                        </wps:cNvSpPr>
                        <wps:spPr bwMode="auto">
                          <a:xfrm>
                            <a:off x="3543438" y="2892858"/>
                            <a:ext cx="2057125" cy="832591"/>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csak komplexen, több hatással együttesen leírható</w:t>
                              </w:r>
                            </w:p>
                          </w:txbxContent>
                        </wps:txbx>
                        <wps:bodyPr rot="0" vert="horz" wrap="square" lIns="36000" tIns="36000" rIns="36000" bIns="36000" anchor="t" anchorCtr="0" upright="1">
                          <a:noAutofit/>
                        </wps:bodyPr>
                      </wps:wsp>
                      <wps:wsp>
                        <wps:cNvPr id="250" name="Text Box 96"/>
                        <wps:cNvSpPr txBox="1">
                          <a:spLocks noChangeArrowheads="1"/>
                        </wps:cNvSpPr>
                        <wps:spPr bwMode="auto">
                          <a:xfrm>
                            <a:off x="6286271" y="2892858"/>
                            <a:ext cx="2285694" cy="800943"/>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51" name="Text Box 97"/>
                        <wps:cNvSpPr txBox="1">
                          <a:spLocks noChangeArrowheads="1"/>
                        </wps:cNvSpPr>
                        <wps:spPr bwMode="auto">
                          <a:xfrm>
                            <a:off x="6286271" y="2892816"/>
                            <a:ext cx="2066903" cy="259806"/>
                          </a:xfrm>
                          <a:prstGeom prst="rect">
                            <a:avLst/>
                          </a:prstGeom>
                          <a:solidFill>
                            <a:srgbClr val="C0C0C0"/>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Többszempontú értékelés</w:t>
                              </w:r>
                            </w:p>
                          </w:txbxContent>
                        </wps:txbx>
                        <wps:bodyPr rot="0" vert="horz" wrap="square" lIns="36000" tIns="36000" rIns="36000" bIns="36000" anchor="t" anchorCtr="0" upright="1">
                          <a:noAutofit/>
                        </wps:bodyPr>
                      </wps:wsp>
                      <wps:wsp>
                        <wps:cNvPr id="252" name="AutoShape 98"/>
                        <wps:cNvSpPr>
                          <a:spLocks noChangeArrowheads="1"/>
                        </wps:cNvSpPr>
                        <wps:spPr bwMode="auto">
                          <a:xfrm>
                            <a:off x="5600562" y="3007279"/>
                            <a:ext cx="685708" cy="457682"/>
                          </a:xfrm>
                          <a:prstGeom prst="rightArrow">
                            <a:avLst>
                              <a:gd name="adj1" fmla="val 50000"/>
                              <a:gd name="adj2" fmla="val 3730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53" name="Text Box 99"/>
                        <wps:cNvSpPr txBox="1">
                          <a:spLocks noChangeArrowheads="1"/>
                        </wps:cNvSpPr>
                        <wps:spPr bwMode="auto">
                          <a:xfrm>
                            <a:off x="3543438" y="4150266"/>
                            <a:ext cx="2057125" cy="1371828"/>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egyfajta hatással leírható, a cél túlteljesítése nagymértékű haszon növekedést eredményez</w:t>
                              </w:r>
                            </w:p>
                          </w:txbxContent>
                        </wps:txbx>
                        <wps:bodyPr rot="0" vert="horz" wrap="square" lIns="36000" tIns="36000" rIns="36000" bIns="36000" anchor="t" anchorCtr="0" upright="1">
                          <a:noAutofit/>
                        </wps:bodyPr>
                      </wps:wsp>
                      <wps:wsp>
                        <wps:cNvPr id="254" name="Text Box 100"/>
                        <wps:cNvSpPr txBox="1">
                          <a:spLocks noChangeArrowheads="1"/>
                        </wps:cNvSpPr>
                        <wps:spPr bwMode="auto">
                          <a:xfrm>
                            <a:off x="6286271" y="3808168"/>
                            <a:ext cx="2069348" cy="284734"/>
                          </a:xfrm>
                          <a:prstGeom prst="rect">
                            <a:avLst/>
                          </a:prstGeom>
                          <a:solidFill>
                            <a:srgbClr val="C0C0C0"/>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Többszempontú értékelés</w:t>
                              </w:r>
                            </w:p>
                          </w:txbxContent>
                        </wps:txbx>
                        <wps:bodyPr rot="0" vert="horz" wrap="square" lIns="36000" tIns="36000" rIns="36000" bIns="36000" anchor="t" anchorCtr="0" upright="1">
                          <a:noAutofit/>
                        </wps:bodyPr>
                      </wps:wsp>
                      <wps:wsp>
                        <wps:cNvPr id="255" name="AutoShape 101"/>
                        <wps:cNvSpPr>
                          <a:spLocks noChangeArrowheads="1"/>
                        </wps:cNvSpPr>
                        <wps:spPr bwMode="auto">
                          <a:xfrm>
                            <a:off x="5600562" y="4150266"/>
                            <a:ext cx="686931" cy="457682"/>
                          </a:xfrm>
                          <a:prstGeom prst="rightArrow">
                            <a:avLst>
                              <a:gd name="adj1" fmla="val 50000"/>
                              <a:gd name="adj2" fmla="val 37367"/>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56" name="AutoShape 102"/>
                        <wps:cNvSpPr>
                          <a:spLocks noChangeArrowheads="1"/>
                        </wps:cNvSpPr>
                        <wps:spPr bwMode="auto">
                          <a:xfrm>
                            <a:off x="5600562" y="4951208"/>
                            <a:ext cx="686931" cy="455247"/>
                          </a:xfrm>
                          <a:prstGeom prst="rightArrow">
                            <a:avLst>
                              <a:gd name="adj1" fmla="val 50000"/>
                              <a:gd name="adj2" fmla="val 37567"/>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57" name="Text Box 103"/>
                        <wps:cNvSpPr txBox="1">
                          <a:spLocks noChangeArrowheads="1"/>
                        </wps:cNvSpPr>
                        <wps:spPr bwMode="auto">
                          <a:xfrm>
                            <a:off x="6286271" y="4722368"/>
                            <a:ext cx="2285694" cy="828397"/>
                          </a:xfrm>
                          <a:prstGeom prst="rect">
                            <a:avLst/>
                          </a:prstGeom>
                          <a:solidFill>
                            <a:srgbClr val="FFFFFF"/>
                          </a:solidFill>
                          <a:ln w="9525">
                            <a:solidFill>
                              <a:srgbClr val="000000"/>
                            </a:solidFill>
                            <a:miter lim="800000"/>
                            <a:headEnd/>
                            <a:tailEnd/>
                          </a:ln>
                        </wps:spPr>
                        <wps:txbx>
                          <w:txbxContent>
                            <w:p w:rsidR="00657272" w:rsidRPr="0098147B" w:rsidRDefault="00657272" w:rsidP="00221929">
                              <w:pPr>
                                <w:rPr>
                                  <w:sz w:val="18"/>
                                  <w:szCs w:val="18"/>
                                  <w:highlight w:val="yellow"/>
                                </w:rPr>
                              </w:pPr>
                            </w:p>
                            <w:p w:rsidR="00657272" w:rsidRPr="0098147B" w:rsidRDefault="00657272" w:rsidP="00221929">
                              <w:pPr>
                                <w:rPr>
                                  <w:sz w:val="18"/>
                                  <w:szCs w:val="18"/>
                                </w:rPr>
                              </w:pPr>
                              <w:r w:rsidRPr="0098147B">
                                <w:rPr>
                                  <w:sz w:val="18"/>
                                  <w:szCs w:val="18"/>
                                </w:rPr>
                                <w:t>A hasznok pénzben kerülnek kifejezésre, vagy az egyfajta hatást jellemző naturáliákban</w:t>
                              </w:r>
                            </w:p>
                          </w:txbxContent>
                        </wps:txbx>
                        <wps:bodyPr rot="0" vert="horz" wrap="square" lIns="36000" tIns="36000" rIns="36000" bIns="36000" anchor="t" anchorCtr="0" upright="1">
                          <a:noAutofit/>
                        </wps:bodyPr>
                      </wps:wsp>
                      <wps:wsp>
                        <wps:cNvPr id="258" name="Text Box 104"/>
                        <wps:cNvSpPr txBox="1">
                          <a:spLocks noChangeArrowheads="1"/>
                        </wps:cNvSpPr>
                        <wps:spPr bwMode="auto">
                          <a:xfrm>
                            <a:off x="6286271" y="4722104"/>
                            <a:ext cx="2063236" cy="256884"/>
                          </a:xfrm>
                          <a:prstGeom prst="rect">
                            <a:avLst/>
                          </a:prstGeom>
                          <a:solidFill>
                            <a:srgbClr val="C0C0C0"/>
                          </a:solidFill>
                          <a:ln w="9525">
                            <a:solidFill>
                              <a:srgbClr val="000000"/>
                            </a:solidFill>
                            <a:miter lim="800000"/>
                            <a:headEnd/>
                            <a:tailEnd/>
                          </a:ln>
                        </wps:spPr>
                        <wps:txbx>
                          <w:txbxContent>
                            <w:p w:rsidR="00657272" w:rsidRPr="0098147B" w:rsidRDefault="00657272" w:rsidP="00221929">
                              <w:pPr>
                                <w:rPr>
                                  <w:sz w:val="18"/>
                                  <w:szCs w:val="18"/>
                                </w:rPr>
                              </w:pPr>
                              <w:r w:rsidRPr="0098147B">
                                <w:rPr>
                                  <w:sz w:val="18"/>
                                  <w:szCs w:val="18"/>
                                </w:rPr>
                                <w:t xml:space="preserve">Közgazdasági költség-haszon elemzés </w:t>
                              </w:r>
                            </w:p>
                            <w:p w:rsidR="00657272" w:rsidRPr="0098147B" w:rsidRDefault="00657272" w:rsidP="00221929">
                              <w:pPr>
                                <w:rPr>
                                  <w:sz w:val="18"/>
                                  <w:szCs w:val="18"/>
                                </w:rPr>
                              </w:pPr>
                            </w:p>
                          </w:txbxContent>
                        </wps:txbx>
                        <wps:bodyPr rot="0" vert="horz" wrap="square" lIns="36000" tIns="36000" rIns="36000" bIns="36000" anchor="t" anchorCtr="0" upright="1">
                          <a:noAutofit/>
                        </wps:bodyPr>
                      </wps:wsp>
                      <wps:wsp>
                        <wps:cNvPr id="259" name="Text Box 105"/>
                        <wps:cNvSpPr txBox="1">
                          <a:spLocks noChangeArrowheads="1"/>
                        </wps:cNvSpPr>
                        <wps:spPr bwMode="auto">
                          <a:xfrm>
                            <a:off x="572035" y="647053"/>
                            <a:ext cx="685708" cy="2018181"/>
                          </a:xfrm>
                          <a:prstGeom prst="rect">
                            <a:avLst/>
                          </a:pr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célja meghatározott</w:t>
                              </w:r>
                            </w:p>
                            <w:p w:rsidR="00657272" w:rsidRPr="0098147B" w:rsidRDefault="00657272" w:rsidP="00221929">
                              <w:pPr>
                                <w:rPr>
                                  <w:sz w:val="18"/>
                                  <w:szCs w:val="18"/>
                                </w:rPr>
                              </w:pPr>
                            </w:p>
                          </w:txbxContent>
                        </wps:txbx>
                        <wps:bodyPr rot="0" vert="horz" wrap="square" lIns="91440" tIns="45720" rIns="91440" bIns="45720" anchor="t" anchorCtr="0" upright="1">
                          <a:noAutofit/>
                        </wps:bodyPr>
                      </wps:wsp>
                      <wps:wsp>
                        <wps:cNvPr id="260" name="Text Box 106"/>
                        <wps:cNvSpPr txBox="1">
                          <a:spLocks noChangeArrowheads="1"/>
                        </wps:cNvSpPr>
                        <wps:spPr bwMode="auto">
                          <a:xfrm>
                            <a:off x="572035" y="2892858"/>
                            <a:ext cx="685708" cy="2629235"/>
                          </a:xfrm>
                          <a:prstGeom prst="rect">
                            <a:avLst/>
                          </a:pr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miter lim="800000"/>
                            <a:headEnd/>
                            <a:tailEnd/>
                          </a:ln>
                        </wps:spPr>
                        <wps:txbx>
                          <w:txbxContent>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célja meghatározatlan</w:t>
                              </w:r>
                            </w:p>
                            <w:p w:rsidR="00657272" w:rsidRPr="0098147B" w:rsidRDefault="00657272" w:rsidP="00221929">
                              <w:pPr>
                                <w:rPr>
                                  <w:sz w:val="18"/>
                                  <w:szCs w:val="18"/>
                                </w:rPr>
                              </w:pPr>
                            </w:p>
                          </w:txbxContent>
                        </wps:txbx>
                        <wps:bodyPr rot="0" vert="horz" wrap="square" lIns="91440" tIns="45720" rIns="91440" bIns="45720" anchor="t" anchorCtr="0" upright="1">
                          <a:noAutofit/>
                        </wps:bodyPr>
                      </wps:wsp>
                    </wpc:wpc>
                  </a:graphicData>
                </a:graphic>
              </wp:inline>
            </w:drawing>
          </mc:Choice>
          <mc:Fallback>
            <w:pict>
              <v:group w14:anchorId="621B682C" id="Vászon 75" o:spid="_x0000_s1067" editas="canvas" style="width:700.2pt;height:437.05pt;mso-position-horizontal-relative:char;mso-position-vertical-relative:line" coordsize="88925,5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">
                <v:shape id="_x0000_s1068" type="#_x0000_t75" style="position:absolute;width:88925;height:55505;visibility:visible;mso-wrap-style:square">
                  <v:fill o:detectmouseclick="t"/>
                  <v:path o:connecttype="none"/>
                </v:shape>
                <v:shape id="Text Box 77" o:spid="_x0000_s1069" type="#_x0000_t202" style="position:absolute;left:5720;top:360;width:22857;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" fillcolor="#767676">
                  <v:fill rotate="t" focus="50%" type="gradient"/>
                  <v:textbox>
                    <w:txbxContent>
                      <w:p w:rsidR="00657272" w:rsidRPr="0098147B" w:rsidRDefault="00657272" w:rsidP="00221929">
                        <w:pPr>
                          <w:rPr>
                            <w:sz w:val="18"/>
                            <w:szCs w:val="18"/>
                          </w:rPr>
                        </w:pPr>
                        <w:r w:rsidRPr="0098147B">
                          <w:rPr>
                            <w:sz w:val="18"/>
                            <w:szCs w:val="18"/>
                          </w:rPr>
                          <w:t>A projekt céljának meghatározottsága</w:t>
                        </w:r>
                      </w:p>
                    </w:txbxContent>
                  </v:textbox>
                </v:shape>
                <v:shape id="Text Box 78" o:spid="_x0000_s1070" type="#_x0000_t202" style="position:absolute;left:35434;top:360;width:2057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" fillcolor="#767676">
                  <v:fill rotate="t" focus="50%" type="gradient"/>
                  <v:textbox>
                    <w:txbxContent>
                      <w:p w:rsidR="00657272" w:rsidRPr="0098147B" w:rsidRDefault="00657272" w:rsidP="00221929">
                        <w:pPr>
                          <w:rPr>
                            <w:sz w:val="18"/>
                            <w:szCs w:val="18"/>
                          </w:rPr>
                        </w:pPr>
                        <w:r w:rsidRPr="0098147B">
                          <w:rPr>
                            <w:sz w:val="18"/>
                            <w:szCs w:val="18"/>
                          </w:rPr>
                          <w:t xml:space="preserve">Hatások/hasznok jellege </w:t>
                        </w:r>
                      </w:p>
                    </w:txbxContent>
                  </v:textbox>
                </v:shape>
                <v:shape id="Text Box 79" o:spid="_x0000_s1071" type="#_x0000_t202" style="position:absolute;left:62862;top:360;width:22857;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" fillcolor="#767676">
                  <v:fill rotate="t" focus="50%" type="gradient"/>
                  <v:textbox>
                    <w:txbxContent>
                      <w:p w:rsidR="00657272" w:rsidRPr="0098147B" w:rsidRDefault="00657272" w:rsidP="00221929">
                        <w:pPr>
                          <w:rPr>
                            <w:sz w:val="18"/>
                            <w:szCs w:val="18"/>
                          </w:rPr>
                        </w:pPr>
                        <w:r w:rsidRPr="0098147B">
                          <w:rPr>
                            <w:sz w:val="18"/>
                            <w:szCs w:val="18"/>
                          </w:rPr>
                          <w:t>Alkalmazandó módszer</w:t>
                        </w:r>
                      </w:p>
                    </w:txbxContent>
                  </v:textbox>
                </v:shape>
                <v:shape id="Text Box 80" o:spid="_x0000_s1072" type="#_x0000_t202" style="position:absolute;left:12577;top:6470;width:16000;height:20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" filled="f" fillcolor="#767676">
                  <v:fill rotate="t" angle="90" focus="50%" type="gradient"/>
                  <v:textbox inset="1mm,1mm,1mm,1mm">
                    <w:txbxContent>
                      <w:p w:rsidR="00657272" w:rsidRPr="0098147B" w:rsidRDefault="00657272" w:rsidP="00221929">
                        <w:pPr>
                          <w:rPr>
                            <w:sz w:val="18"/>
                            <w:szCs w:val="18"/>
                          </w:rPr>
                        </w:pPr>
                        <w:r w:rsidRPr="0098147B">
                          <w:rPr>
                            <w:sz w:val="18"/>
                            <w:szCs w:val="18"/>
                          </w:rPr>
                          <w:t>A projekt vagy projekt elem konkrét célját nem kell a változat elemzés során meghatározni, az már adottság, jogszabály vagy stratégia meghatározza</w:t>
                        </w:r>
                      </w:p>
                      <w:p w:rsidR="00657272" w:rsidRPr="0098147B" w:rsidRDefault="00657272" w:rsidP="00221929">
                        <w:pPr>
                          <w:rPr>
                            <w:sz w:val="18"/>
                            <w:szCs w:val="18"/>
                          </w:rPr>
                        </w:pPr>
                        <w:r w:rsidRPr="0098147B">
                          <w:rPr>
                            <w:sz w:val="18"/>
                            <w:szCs w:val="18"/>
                          </w:rPr>
                          <w:t>(ekkor a változatok a megoldásokban különböznek)</w:t>
                        </w:r>
                      </w:p>
                    </w:txbxContent>
                  </v:textbox>
                </v:shape>
                <v:shape id="Text Box 81" o:spid="_x0000_s1073" type="#_x0000_t202" style="position:absolute;left:12577;top:28940;width:16000;height:2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" filled="f" fillcolor="#767676">
                  <v:fill rotate="t" angle="90" focus="50%" type="gradient"/>
                  <v:textbox inset="1mm,1mm,1mm,1mm">
                    <w:txbxContent>
                      <w:p w:rsidR="00657272" w:rsidRPr="0098147B" w:rsidRDefault="00657272" w:rsidP="00221929">
                        <w:pPr>
                          <w:rPr>
                            <w:sz w:val="18"/>
                            <w:szCs w:val="18"/>
                          </w:rPr>
                        </w:pPr>
                        <w:r w:rsidRPr="0098147B">
                          <w:rPr>
                            <w:sz w:val="18"/>
                            <w:szCs w:val="18"/>
                          </w:rPr>
                          <w:t>A projekt vagy projekt elem konkrét célját is a változat elemzés során kell meghatározni, jogszabályi előírás vagy stratégia szerint</w:t>
                        </w:r>
                      </w:p>
                      <w:p w:rsidR="00657272" w:rsidRPr="0098147B" w:rsidRDefault="00657272" w:rsidP="00221929">
                        <w:pPr>
                          <w:rPr>
                            <w:sz w:val="18"/>
                            <w:szCs w:val="18"/>
                          </w:rPr>
                        </w:pPr>
                        <w:r w:rsidRPr="0098147B">
                          <w:rPr>
                            <w:sz w:val="18"/>
                            <w:szCs w:val="18"/>
                          </w:rPr>
                          <w:t>(ekkor a változatok különbözhetnek a célokban és a megoldásokban, amelyeket egy vagy több lépcsőben is lehet elemezni)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2" o:spid="_x0000_s1074" type="#_x0000_t13" style="position:absolute;left:28577;top:9501;width:6857;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" adj="16222" fillcolor="silver"/>
                <v:shape id="AutoShape 83" o:spid="_x0000_s1075" type="#_x0000_t13" style="position:absolute;left:28577;top:44935;width:6857;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" adj="16222" fillcolor="silver"/>
                <v:shape id="AutoShape 84" o:spid="_x0000_s1076" type="#_x0000_t13" style="position:absolute;left:28577;top:30072;width:6857;height: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" adj="16222" fillcolor="silver"/>
                <v:shape id="AutoShape 85" o:spid="_x0000_s1077" type="#_x0000_t13" style="position:absolute;left:28577;top:19787;width:6857;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" adj="16222" fillcolor="silver"/>
                <v:shape id="Text Box 86" o:spid="_x0000_s1078" type="#_x0000_t202" style="position:absolute;left:35434;top:6470;width:20571;height:9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">
                  <v:textbox inset="1mm,1mm,1mm,1mm">
                    <w:txbxContent>
                      <w:p w:rsidR="00657272" w:rsidRPr="0098147B" w:rsidRDefault="00657272" w:rsidP="00221929">
                        <w:pPr>
                          <w:rPr>
                            <w:sz w:val="18"/>
                            <w:szCs w:val="18"/>
                          </w:rPr>
                        </w:pPr>
                        <w:r w:rsidRPr="0098147B">
                          <w:rPr>
                            <w:sz w:val="18"/>
                            <w:szCs w:val="18"/>
                          </w:rPr>
                          <w:t>A projekt eredménye egyfajta hatással leírható, a cél túlteljesítése nem eredményez nagymértékű haszon növekedést és nincs jelentős különbség az externáliák tekintetében</w:t>
                        </w:r>
                      </w:p>
                    </w:txbxContent>
                  </v:textbox>
                </v:shape>
                <v:shape id="Text Box 87" o:spid="_x0000_s1079" type="#_x0000_t202" style="position:absolute;left:62862;top:6470;width:22857;height:9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">
                  <v:textbox inset="1mm,1mm,1mm,1mm">
                    <w:txbxContent>
                      <w:p w:rsidR="00657272" w:rsidRPr="0098147B" w:rsidRDefault="00657272" w:rsidP="00221929">
                        <w:pPr>
                          <w:rPr>
                            <w:sz w:val="18"/>
                            <w:szCs w:val="18"/>
                          </w:rPr>
                        </w:pPr>
                      </w:p>
                      <w:p w:rsidR="00657272" w:rsidRDefault="00657272" w:rsidP="00221929">
                        <w:pPr>
                          <w:rPr>
                            <w:sz w:val="18"/>
                            <w:szCs w:val="18"/>
                          </w:rPr>
                        </w:pPr>
                      </w:p>
                      <w:p w:rsidR="00657272" w:rsidRPr="0098147B" w:rsidRDefault="00657272" w:rsidP="00221929">
                        <w:pPr>
                          <w:rPr>
                            <w:sz w:val="18"/>
                            <w:szCs w:val="18"/>
                          </w:rPr>
                        </w:pPr>
                        <w:r w:rsidRPr="0098147B">
                          <w:rPr>
                            <w:sz w:val="18"/>
                            <w:szCs w:val="18"/>
                          </w:rPr>
                          <w:t>Legkisebb költség</w:t>
                        </w:r>
                        <w:r w:rsidRPr="0098147B" w:rsidDel="00077B78">
                          <w:rPr>
                            <w:sz w:val="18"/>
                            <w:szCs w:val="18"/>
                          </w:rPr>
                          <w:t xml:space="preserve"> </w:t>
                        </w:r>
                      </w:p>
                      <w:p w:rsidR="00657272" w:rsidRPr="0098147B" w:rsidRDefault="00657272" w:rsidP="00221929">
                        <w:pPr>
                          <w:rPr>
                            <w:sz w:val="18"/>
                            <w:szCs w:val="18"/>
                          </w:rPr>
                        </w:pPr>
                      </w:p>
                    </w:txbxContent>
                  </v:textbox>
                </v:shape>
                <v:shape id="Text Box 88" o:spid="_x0000_s1080" type="#_x0000_t202" style="position:absolute;left:62862;top:6470;width:20633;height:3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" fillcolor="silver">
                  <v:textbox inset="1mm,1mm,1mm,1mm">
                    <w:txbxContent>
                      <w:p w:rsidR="00657272" w:rsidRPr="0098147B" w:rsidRDefault="00657272" w:rsidP="00221929">
                        <w:pPr>
                          <w:rPr>
                            <w:sz w:val="18"/>
                            <w:szCs w:val="18"/>
                          </w:rPr>
                        </w:pPr>
                        <w:r w:rsidRPr="0098147B">
                          <w:rPr>
                            <w:sz w:val="18"/>
                            <w:szCs w:val="18"/>
                          </w:rPr>
                          <w:t>Költség-hatékonyság elemzés</w:t>
                        </w:r>
                      </w:p>
                    </w:txbxContent>
                  </v:textbox>
                </v:shape>
                <v:shape id="AutoShape 89" o:spid="_x0000_s1081" type="#_x0000_t13" style="position:absolute;left:56005;top:9501;width:6857;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" adj="16222" fillcolor="silver"/>
                <v:shape id="Text Box 90" o:spid="_x0000_s1082" type="#_x0000_t202" style="position:absolute;left:35434;top:18776;width:20571;height:7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">
                  <v:textbox inset="1mm,1mm,1mm,1mm">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csak komplexen, több hatással együttesen leírható</w:t>
                        </w:r>
                      </w:p>
                      <w:p w:rsidR="00657272" w:rsidRPr="0098147B" w:rsidRDefault="00657272" w:rsidP="00221929">
                        <w:pPr>
                          <w:rPr>
                            <w:sz w:val="18"/>
                            <w:szCs w:val="18"/>
                          </w:rPr>
                        </w:pPr>
                      </w:p>
                    </w:txbxContent>
                  </v:textbox>
                </v:shape>
                <v:shape id="AutoShape 91" o:spid="_x0000_s1083" type="#_x0000_t13" style="position:absolute;left:56005;top:19787;width:6857;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" adj="16222" fillcolor="silver"/>
                <v:shape id="Text Box 92" o:spid="_x0000_s1084" type="#_x0000_t202" style="position:absolute;left:62862;top:18642;width:22857;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">
                  <v:textbox inset="1mm,1mm,1mm,1mm">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txbxContent>
                  </v:textbox>
                </v:shape>
                <v:shape id="Text Box 93" o:spid="_x0000_s1085" type="#_x0000_t202" style="position:absolute;left:62862;top:18642;width:20633;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" fillcolor="silver">
                  <v:textbox inset="1mm,1mm,1mm,1mm">
                    <w:txbxContent>
                      <w:p w:rsidR="00657272" w:rsidRPr="0098147B" w:rsidRDefault="00657272" w:rsidP="00221929">
                        <w:pPr>
                          <w:rPr>
                            <w:sz w:val="18"/>
                            <w:szCs w:val="18"/>
                          </w:rPr>
                        </w:pPr>
                        <w:r w:rsidRPr="0098147B">
                          <w:rPr>
                            <w:sz w:val="18"/>
                            <w:szCs w:val="18"/>
                          </w:rPr>
                          <w:t>Többszempontú értékelés</w:t>
                        </w:r>
                      </w:p>
                    </w:txbxContent>
                  </v:textbox>
                </v:shape>
                <v:shape id="Text Box 94" o:spid="_x0000_s1086" type="#_x0000_t202" style="position:absolute;left:62862;top:38082;width:22857;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">
                  <v:textbox inset="1mm,1mm,1mm,1mm">
                    <w:txbxContent>
                      <w:p w:rsidR="00657272" w:rsidRPr="0098147B" w:rsidRDefault="00657272" w:rsidP="00221929">
                        <w:pPr>
                          <w:rPr>
                            <w:sz w:val="18"/>
                            <w:szCs w:val="18"/>
                            <w:highlight w:val="yellow"/>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p>
                    </w:txbxContent>
                  </v:textbox>
                </v:shape>
                <v:shape id="Text Box 95" o:spid="_x0000_s1087" type="#_x0000_t202" style="position:absolute;left:35434;top:28928;width:20571;height:8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">
                  <v:textbox inset="1mm,1mm,1mm,1mm">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csak komplexen, több hatással együttesen leírható</w:t>
                        </w:r>
                      </w:p>
                    </w:txbxContent>
                  </v:textbox>
                </v:shape>
                <v:shape id="Text Box 96" o:spid="_x0000_s1088" type="#_x0000_t202" style="position:absolute;left:62862;top:28928;width:22857;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">
                  <v:textbox inset="1mm,1mm,1mm,1mm">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hasznok naturális mértékegység alapján pontozással kerülnek kifejezésre</w:t>
                        </w:r>
                      </w:p>
                      <w:p w:rsidR="00657272" w:rsidRPr="0098147B" w:rsidRDefault="00657272" w:rsidP="00221929">
                        <w:pPr>
                          <w:rPr>
                            <w:sz w:val="18"/>
                            <w:szCs w:val="18"/>
                          </w:rPr>
                        </w:pPr>
                      </w:p>
                    </w:txbxContent>
                  </v:textbox>
                </v:shape>
                <v:shape id="Text Box 97" o:spid="_x0000_s1089" type="#_x0000_t202" style="position:absolute;left:62862;top:28928;width:20669;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" fillcolor="silver">
                  <v:textbox inset="1mm,1mm,1mm,1mm">
                    <w:txbxContent>
                      <w:p w:rsidR="00657272" w:rsidRPr="0098147B" w:rsidRDefault="00657272" w:rsidP="00221929">
                        <w:pPr>
                          <w:rPr>
                            <w:sz w:val="18"/>
                            <w:szCs w:val="18"/>
                          </w:rPr>
                        </w:pPr>
                        <w:r w:rsidRPr="0098147B">
                          <w:rPr>
                            <w:sz w:val="18"/>
                            <w:szCs w:val="18"/>
                          </w:rPr>
                          <w:t>Többszempontú értékelés</w:t>
                        </w:r>
                      </w:p>
                    </w:txbxContent>
                  </v:textbox>
                </v:shape>
                <v:shape id="AutoShape 98" o:spid="_x0000_s1090" type="#_x0000_t13" style="position:absolute;left:56005;top:30072;width:6857;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" adj="16222" fillcolor="silver"/>
                <v:shape id="Text Box 99" o:spid="_x0000_s1091" type="#_x0000_t202" style="position:absolute;left:35434;top:41502;width:20571;height:1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">
                  <v:textbox inset="1mm,1mm,1mm,1mm">
                    <w:txbxContent>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eredménye egyfajta hatással leírható, a cél túlteljesítése nagymértékű haszon növekedést eredményez</w:t>
                        </w:r>
                      </w:p>
                    </w:txbxContent>
                  </v:textbox>
                </v:shape>
                <v:shape id="Text Box 100" o:spid="_x0000_s1092" type="#_x0000_t202" style="position:absolute;left:62862;top:38081;width:20694;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" fillcolor="silver">
                  <v:textbox inset="1mm,1mm,1mm,1mm">
                    <w:txbxContent>
                      <w:p w:rsidR="00657272" w:rsidRPr="0098147B" w:rsidRDefault="00657272" w:rsidP="00221929">
                        <w:pPr>
                          <w:rPr>
                            <w:sz w:val="18"/>
                            <w:szCs w:val="18"/>
                          </w:rPr>
                        </w:pPr>
                        <w:r w:rsidRPr="0098147B">
                          <w:rPr>
                            <w:sz w:val="18"/>
                            <w:szCs w:val="18"/>
                          </w:rPr>
                          <w:t>Többszempontú értékelés</w:t>
                        </w:r>
                      </w:p>
                    </w:txbxContent>
                  </v:textbox>
                </v:shape>
                <v:shape id="AutoShape 101" o:spid="_x0000_s1093" type="#_x0000_t13" style="position:absolute;left:56005;top:41502;width:6869;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" adj="16222" fillcolor="silver"/>
                <v:shape id="AutoShape 102" o:spid="_x0000_s1094" type="#_x0000_t13" style="position:absolute;left:56005;top:49512;width:6869;height:4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" adj="16222" fillcolor="silver"/>
                <v:shape id="Text Box 103" o:spid="_x0000_s1095" type="#_x0000_t202" style="position:absolute;left:62862;top:47223;width:22857;height:8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">
                  <v:textbox inset="1mm,1mm,1mm,1mm">
                    <w:txbxContent>
                      <w:p w:rsidR="00657272" w:rsidRPr="0098147B" w:rsidRDefault="00657272" w:rsidP="00221929">
                        <w:pPr>
                          <w:rPr>
                            <w:sz w:val="18"/>
                            <w:szCs w:val="18"/>
                            <w:highlight w:val="yellow"/>
                          </w:rPr>
                        </w:pPr>
                      </w:p>
                      <w:p w:rsidR="00657272" w:rsidRPr="0098147B" w:rsidRDefault="00657272" w:rsidP="00221929">
                        <w:pPr>
                          <w:rPr>
                            <w:sz w:val="18"/>
                            <w:szCs w:val="18"/>
                          </w:rPr>
                        </w:pPr>
                        <w:r w:rsidRPr="0098147B">
                          <w:rPr>
                            <w:sz w:val="18"/>
                            <w:szCs w:val="18"/>
                          </w:rPr>
                          <w:t>A hasznok pénzben kerülnek kifejezésre, vagy az egyfajta hatást jellemző naturáliákban</w:t>
                        </w:r>
                      </w:p>
                    </w:txbxContent>
                  </v:textbox>
                </v:shape>
                <v:shape id="Text Box 104" o:spid="_x0000_s1096" type="#_x0000_t202" style="position:absolute;left:62862;top:47221;width:20633;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" fillcolor="silver">
                  <v:textbox inset="1mm,1mm,1mm,1mm">
                    <w:txbxContent>
                      <w:p w:rsidR="00657272" w:rsidRPr="0098147B" w:rsidRDefault="00657272" w:rsidP="00221929">
                        <w:pPr>
                          <w:rPr>
                            <w:sz w:val="18"/>
                            <w:szCs w:val="18"/>
                          </w:rPr>
                        </w:pPr>
                        <w:r w:rsidRPr="0098147B">
                          <w:rPr>
                            <w:sz w:val="18"/>
                            <w:szCs w:val="18"/>
                          </w:rPr>
                          <w:t xml:space="preserve">Közgazdasági költség-haszon elemzés </w:t>
                        </w:r>
                      </w:p>
                      <w:p w:rsidR="00657272" w:rsidRPr="0098147B" w:rsidRDefault="00657272" w:rsidP="00221929">
                        <w:pPr>
                          <w:rPr>
                            <w:sz w:val="18"/>
                            <w:szCs w:val="18"/>
                          </w:rPr>
                        </w:pPr>
                      </w:p>
                    </w:txbxContent>
                  </v:textbox>
                </v:shape>
                <v:shape id="Text Box 105" o:spid="_x0000_s1097" type="#_x0000_t202" style="position:absolute;left:5720;top:6470;width:6857;height:20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" fillcolor="#595959">
                  <v:fill color2="silver" rotate="t" angle="90" focus="50%" type="gradient"/>
                  <v:textbox>
                    <w:txbxContent>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célja meghatározott</w:t>
                        </w:r>
                      </w:p>
                      <w:p w:rsidR="00657272" w:rsidRPr="0098147B" w:rsidRDefault="00657272" w:rsidP="00221929">
                        <w:pPr>
                          <w:rPr>
                            <w:sz w:val="18"/>
                            <w:szCs w:val="18"/>
                          </w:rPr>
                        </w:pPr>
                      </w:p>
                    </w:txbxContent>
                  </v:textbox>
                </v:shape>
                <v:shape id="Text Box 106" o:spid="_x0000_s1098" type="#_x0000_t202" style="position:absolute;left:5720;top:28928;width:6857;height:2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" fillcolor="#595959">
                  <v:fill color2="silver" rotate="t" angle="90" focus="50%" type="gradient"/>
                  <v:textbox>
                    <w:txbxContent>
                      <w:p w:rsidR="00657272" w:rsidRPr="0098147B" w:rsidRDefault="00657272" w:rsidP="00221929">
                        <w:pPr>
                          <w:rPr>
                            <w:sz w:val="18"/>
                            <w:szCs w:val="18"/>
                          </w:rPr>
                        </w:pPr>
                      </w:p>
                      <w:p w:rsidR="00657272" w:rsidRPr="0098147B" w:rsidRDefault="00657272" w:rsidP="00221929">
                        <w:pPr>
                          <w:rPr>
                            <w:sz w:val="18"/>
                            <w:szCs w:val="18"/>
                          </w:rPr>
                        </w:pPr>
                      </w:p>
                      <w:p w:rsidR="00657272" w:rsidRPr="0098147B" w:rsidRDefault="00657272" w:rsidP="00221929">
                        <w:pPr>
                          <w:rPr>
                            <w:sz w:val="18"/>
                            <w:szCs w:val="18"/>
                          </w:rPr>
                        </w:pPr>
                        <w:r w:rsidRPr="0098147B">
                          <w:rPr>
                            <w:sz w:val="18"/>
                            <w:szCs w:val="18"/>
                          </w:rPr>
                          <w:t>A projekt célja meghatározatlan</w:t>
                        </w:r>
                      </w:p>
                      <w:p w:rsidR="00657272" w:rsidRPr="0098147B" w:rsidRDefault="00657272" w:rsidP="00221929">
                        <w:pPr>
                          <w:rPr>
                            <w:sz w:val="18"/>
                            <w:szCs w:val="18"/>
                          </w:rPr>
                        </w:pPr>
                      </w:p>
                    </w:txbxContent>
                  </v:textbox>
                </v:shape>
                <w10:anchorlock/>
              </v:group>
            </w:pict>
          </mc:Fallback>
        </mc:AlternateContent>
      </w:r>
    </w:p>
    <w:p w:rsidR="00322396" w:rsidRPr="00D40DC4" w:rsidRDefault="00322396" w:rsidP="00221929">
      <w:pPr>
        <w:rPr>
          <w:rFonts w:cs="Arial"/>
        </w:rPr>
      </w:pPr>
    </w:p>
    <w:p w:rsidR="00322396" w:rsidRPr="00D40DC4" w:rsidRDefault="00322396" w:rsidP="00221929">
      <w:pPr>
        <w:rPr>
          <w:rFonts w:cs="Arial"/>
        </w:rPr>
        <w:sectPr w:rsidR="00322396" w:rsidRPr="00D40DC4" w:rsidSect="00CE1295">
          <w:footerReference w:type="first" r:id="rId19"/>
          <w:pgSz w:w="16838" w:h="11906" w:orient="landscape"/>
          <w:pgMar w:top="851" w:right="1417" w:bottom="993" w:left="1417" w:header="708" w:footer="708" w:gutter="0"/>
          <w:cols w:space="708"/>
          <w:titlePg/>
          <w:docGrid w:linePitch="360"/>
        </w:sectPr>
      </w:pPr>
    </w:p>
    <w:p w:rsidR="00322396" w:rsidRPr="00D40DC4" w:rsidRDefault="00322396" w:rsidP="005A76C2">
      <w:pPr>
        <w:pStyle w:val="Cmsor4"/>
      </w:pPr>
      <w:r w:rsidRPr="00D40DC4">
        <w:lastRenderedPageBreak/>
        <w:t>Költség-hatékonyság elemzés</w:t>
      </w:r>
    </w:p>
    <w:p w:rsidR="00322396" w:rsidRPr="00D40DC4" w:rsidRDefault="00322396" w:rsidP="00221929">
      <w:pPr>
        <w:rPr>
          <w:rFonts w:cs="Arial"/>
        </w:rPr>
      </w:pPr>
      <w:r w:rsidRPr="00D40DC4">
        <w:rPr>
          <w:rFonts w:cs="Arial"/>
        </w:rPr>
        <w:t xml:space="preserve">A </w:t>
      </w:r>
      <w:r w:rsidRPr="00D40DC4">
        <w:rPr>
          <w:rFonts w:cs="Arial"/>
          <w:b/>
        </w:rPr>
        <w:t>költség-hatékonyság elemzés</w:t>
      </w:r>
      <w:r w:rsidRPr="00D40DC4">
        <w:rPr>
          <w:rFonts w:cs="Arial"/>
        </w:rPr>
        <w:t xml:space="preserve"> eredményei alapján kiválasztható egy adott cél elérésére alkalmazandó legkisebb költségű megoldás. A költség-hatékonyság elemzés során először számbavételre kerülnek a hatások és költségek</w:t>
      </w:r>
      <w:r w:rsidR="00F16AE8" w:rsidRPr="00D40DC4">
        <w:rPr>
          <w:rFonts w:cs="Arial"/>
        </w:rPr>
        <w:t xml:space="preserve"> a vizsgált időtávon</w:t>
      </w:r>
      <w:r w:rsidRPr="00D40DC4">
        <w:rPr>
          <w:rFonts w:cs="Arial"/>
        </w:rPr>
        <w:t xml:space="preserve">. Ezt követően számszerűsítésre kerülnek a költségek. A hatások értékben való kifejezése helyett az adott cél elérését jelentő állapot változás naturáliákkal (természetes mértékegységben) való jellemzése valósul meg. </w:t>
      </w:r>
    </w:p>
    <w:p w:rsidR="00322396" w:rsidRPr="00D40DC4" w:rsidRDefault="00322396" w:rsidP="00221929">
      <w:pPr>
        <w:rPr>
          <w:rFonts w:cs="Arial"/>
        </w:rPr>
      </w:pPr>
      <w:r w:rsidRPr="00D40DC4">
        <w:rPr>
          <w:rFonts w:cs="Arial"/>
        </w:rPr>
        <w:t>A költség-hatékonyság elemzés az alábbi feltételek teljesülése esetén alkalmazható:</w:t>
      </w:r>
    </w:p>
    <w:p w:rsidR="0050177F" w:rsidRPr="00D40DC4" w:rsidRDefault="0050177F" w:rsidP="006C5A6D">
      <w:pPr>
        <w:numPr>
          <w:ilvl w:val="0"/>
          <w:numId w:val="22"/>
        </w:numPr>
      </w:pPr>
      <w:r w:rsidRPr="00D40DC4">
        <w:t>a projekt csak egy, homogén és könnyen mérhető outputot termel</w:t>
      </w:r>
    </w:p>
    <w:p w:rsidR="0050177F" w:rsidRPr="00D40DC4" w:rsidRDefault="001E20EA" w:rsidP="006C5A6D">
      <w:pPr>
        <w:numPr>
          <w:ilvl w:val="0"/>
          <w:numId w:val="22"/>
        </w:numPr>
      </w:pPr>
      <w:r w:rsidRPr="00D40DC4">
        <w:t>a végtermék alapvető fontosságú, azaz a biztosítását szolgáló intézkedés rendkívül fontos</w:t>
      </w:r>
    </w:p>
    <w:p w:rsidR="001E20EA" w:rsidRPr="00D40DC4" w:rsidRDefault="001E20EA" w:rsidP="006F2748">
      <w:pPr>
        <w:numPr>
          <w:ilvl w:val="0"/>
          <w:numId w:val="41"/>
        </w:numPr>
      </w:pPr>
      <w:r w:rsidRPr="00D40DC4">
        <w:t>a projekt célja az output lehető legkisebb költségen való elérése</w:t>
      </w:r>
    </w:p>
    <w:p w:rsidR="001E20EA" w:rsidRPr="00D40DC4" w:rsidRDefault="001E20EA" w:rsidP="006F2748">
      <w:pPr>
        <w:numPr>
          <w:ilvl w:val="0"/>
          <w:numId w:val="41"/>
        </w:numPr>
      </w:pPr>
      <w:r w:rsidRPr="00D40DC4">
        <w:t>valamennyi vizsgált változat költségei könnyen mérhetők, a rejtett költségek pedig irrelevánsnak tekinthetők</w:t>
      </w:r>
    </w:p>
    <w:p w:rsidR="001E20EA" w:rsidRPr="00D40DC4" w:rsidRDefault="001E20EA" w:rsidP="006F2748">
      <w:pPr>
        <w:numPr>
          <w:ilvl w:val="0"/>
          <w:numId w:val="41"/>
        </w:numPr>
      </w:pPr>
      <w:r w:rsidRPr="00D40DC4">
        <w:t>nincsenek jelentős externáliák</w:t>
      </w:r>
    </w:p>
    <w:p w:rsidR="003130CE" w:rsidRPr="00D40DC4" w:rsidRDefault="001E20EA" w:rsidP="00971400">
      <w:r w:rsidRPr="00D40DC4">
        <w:rPr>
          <w:rFonts w:cs="Arial"/>
        </w:rPr>
        <w:t>széleskörű benchmarkok állnak rendelkezésre annak bizonyítására, hogy a kiválasztott megoldás eleget tesz a szükséges költséghatékonysági feltételeknek</w:t>
      </w:r>
      <w:r w:rsidR="003130CE" w:rsidRPr="00D40DC4">
        <w:rPr>
          <w:rFonts w:cs="Arial"/>
        </w:rPr>
        <w:t>.</w:t>
      </w:r>
    </w:p>
    <w:p w:rsidR="008E7429" w:rsidRPr="00D40DC4" w:rsidRDefault="008E7429" w:rsidP="00971400"/>
    <w:p w:rsidR="00322396" w:rsidRPr="00D40DC4" w:rsidRDefault="00322396" w:rsidP="005A76C2">
      <w:pPr>
        <w:pStyle w:val="Cmsor4"/>
      </w:pPr>
      <w:r w:rsidRPr="00D40DC4">
        <w:t>Közgazdasági költség-haszon elemzés</w:t>
      </w:r>
    </w:p>
    <w:p w:rsidR="00322396" w:rsidRPr="00D40DC4" w:rsidRDefault="00322396" w:rsidP="00221929">
      <w:pPr>
        <w:rPr>
          <w:rFonts w:cs="Arial"/>
        </w:rPr>
      </w:pPr>
      <w:r w:rsidRPr="00D40DC4">
        <w:rPr>
          <w:rFonts w:cs="Arial"/>
        </w:rPr>
        <w:t xml:space="preserve">A </w:t>
      </w:r>
      <w:r w:rsidRPr="00D40DC4">
        <w:rPr>
          <w:rFonts w:cs="Arial"/>
          <w:b/>
        </w:rPr>
        <w:t>közgazdasági költség-haszon elemzés</w:t>
      </w:r>
      <w:r w:rsidRPr="00D40DC4">
        <w:rPr>
          <w:rFonts w:cs="Arial"/>
        </w:rPr>
        <w:t xml:space="preserve"> akkor alkalmazandó, ha a konkrét célt több paraméter írja le és ezeknek a paraméter célértékeknek a meghatározása is a változatelemzés célja. A leghatékonyabban és a legkisebb kockázattal megvalósítható változat kiválasztásának lépései:</w:t>
      </w:r>
    </w:p>
    <w:p w:rsidR="00322396" w:rsidRPr="00D40DC4" w:rsidRDefault="00322396" w:rsidP="006C5A6D">
      <w:pPr>
        <w:numPr>
          <w:ilvl w:val="0"/>
          <w:numId w:val="29"/>
        </w:numPr>
      </w:pPr>
      <w:r w:rsidRPr="00D40DC4">
        <w:t xml:space="preserve">beruházási és működési költségek becslése, </w:t>
      </w:r>
    </w:p>
    <w:p w:rsidR="00322396" w:rsidRPr="00D40DC4" w:rsidRDefault="00322396" w:rsidP="006C5A6D">
      <w:pPr>
        <w:numPr>
          <w:ilvl w:val="0"/>
          <w:numId w:val="19"/>
        </w:numPr>
      </w:pPr>
      <w:r w:rsidRPr="00D40DC4">
        <w:t>társadalmi-gazdasági és környezeti hatások becslése</w:t>
      </w:r>
    </w:p>
    <w:p w:rsidR="00322396" w:rsidRPr="00D40DC4" w:rsidRDefault="00322396" w:rsidP="006C5A6D">
      <w:pPr>
        <w:numPr>
          <w:ilvl w:val="0"/>
          <w:numId w:val="19"/>
        </w:numPr>
      </w:pPr>
      <w:r w:rsidRPr="00D40DC4">
        <w:t>változatok összevetése közgazdasági költség-haszon teljesítménymutatók alapján, indokolt esetben egyszerűsített mutatók is alkalmazhatók</w:t>
      </w:r>
    </w:p>
    <w:p w:rsidR="00322396" w:rsidRPr="00D40DC4" w:rsidRDefault="00322396" w:rsidP="005A76C2">
      <w:pPr>
        <w:pStyle w:val="Cmsor4"/>
      </w:pPr>
      <w:r w:rsidRPr="00D40DC4">
        <w:t>Többszempontú értékelés</w:t>
      </w:r>
    </w:p>
    <w:p w:rsidR="00896456" w:rsidRPr="00D40DC4" w:rsidRDefault="00322396" w:rsidP="00221929">
      <w:pPr>
        <w:rPr>
          <w:rFonts w:cs="Arial"/>
        </w:rPr>
      </w:pPr>
      <w:r w:rsidRPr="00D40DC4">
        <w:rPr>
          <w:rFonts w:cs="Arial"/>
        </w:rPr>
        <w:t xml:space="preserve">A </w:t>
      </w:r>
      <w:r w:rsidRPr="00D40DC4">
        <w:rPr>
          <w:rFonts w:cs="Arial"/>
          <w:b/>
        </w:rPr>
        <w:t>többszempontú értékelés</w:t>
      </w:r>
      <w:r w:rsidRPr="00D40DC4">
        <w:rPr>
          <w:rFonts w:cs="Arial"/>
        </w:rPr>
        <w:t xml:space="preserve"> módszerének alkalmazására abban az esetben javasolt, amennyiben a cél meghatározás jellege szerint nem homogén.</w:t>
      </w:r>
      <w:r w:rsidR="00896456" w:rsidRPr="00D40DC4">
        <w:rPr>
          <w:rFonts w:cs="Arial"/>
        </w:rPr>
        <w:t xml:space="preserve"> A CBA-val ellentétben, mely célfüggvénye alapján a társadalmi jólét maximalizálását célozza, a többszempontú elemzés több olyan cél</w:t>
      </w:r>
      <w:r w:rsidR="00C24D88" w:rsidRPr="00D40DC4">
        <w:rPr>
          <w:rFonts w:cs="Arial"/>
        </w:rPr>
        <w:t>függvény</w:t>
      </w:r>
      <w:r w:rsidR="00896456" w:rsidRPr="00D40DC4">
        <w:rPr>
          <w:rFonts w:cs="Arial"/>
        </w:rPr>
        <w:t xml:space="preserve"> egyidejű megvalósulását célozza, melyek </w:t>
      </w:r>
      <w:r w:rsidR="00C24D88" w:rsidRPr="00D40DC4">
        <w:rPr>
          <w:rFonts w:cs="Arial"/>
        </w:rPr>
        <w:t xml:space="preserve">nem mindegyike aggregálható </w:t>
      </w:r>
      <w:r w:rsidR="00896456" w:rsidRPr="00D40DC4">
        <w:rPr>
          <w:rFonts w:cs="Arial"/>
        </w:rPr>
        <w:t xml:space="preserve">árnyékárak </w:t>
      </w:r>
      <w:r w:rsidR="00C24D88" w:rsidRPr="00D40DC4">
        <w:rPr>
          <w:rFonts w:cs="Arial"/>
        </w:rPr>
        <w:t xml:space="preserve">és (jóléti) naturáliák </w:t>
      </w:r>
      <w:r w:rsidR="00896456" w:rsidRPr="00D40DC4">
        <w:rPr>
          <w:rFonts w:cs="Arial"/>
        </w:rPr>
        <w:t xml:space="preserve">által, ahogy egy </w:t>
      </w:r>
      <w:r w:rsidR="00C24D88" w:rsidRPr="00D40DC4">
        <w:rPr>
          <w:rFonts w:cs="Arial"/>
        </w:rPr>
        <w:t>hagyományos költség-haszon elemzésben</w:t>
      </w:r>
      <w:r w:rsidR="00896456" w:rsidRPr="00D40DC4">
        <w:rPr>
          <w:rFonts w:cs="Arial"/>
        </w:rPr>
        <w:t>.</w:t>
      </w:r>
    </w:p>
    <w:p w:rsidR="00322396" w:rsidRPr="00D40DC4" w:rsidRDefault="00322396" w:rsidP="00896456">
      <w:pPr>
        <w:rPr>
          <w:rFonts w:cs="Arial"/>
        </w:rPr>
      </w:pPr>
      <w:r w:rsidRPr="00D40DC4">
        <w:rPr>
          <w:rFonts w:cs="Arial"/>
        </w:rPr>
        <w:t>Előnye, hogy az intézményi, működtetési kockázat is figyelembe vehető az elemzés során. Ez az elemzés veheti pl. egy szempontként az egyszerűsített pénzügyi elemzés mutatóit. Ez akkor releváns, ha a projekt megvalósítójának, illetve használóinak forrásai szűkösek, vagy különböző intézményi változatok jelentősen eltérő pénzügyi feltételeket eredményeznek, így a pénzügyi megvalósíthatóság kérdéses lehet. Ekkor egy előzetes, egyszerűsített finanszírozási terv eredményei, következtetései bevonhatók a többszempontú értékelésbe, illetve ezek alapján a pénzügyileg nem megvalósítható változatok kizárhatók a további elemzésből.</w:t>
      </w:r>
    </w:p>
    <w:p w:rsidR="008A7BA3" w:rsidRPr="00D40DC4" w:rsidRDefault="000F5E43" w:rsidP="008A7BA3">
      <w:r w:rsidRPr="00D40DC4">
        <w:rPr>
          <w:rFonts w:cs="Arial"/>
        </w:rPr>
        <w:t>Az EU Útmutató (2014-2020) alapján a</w:t>
      </w:r>
      <w:r w:rsidR="00D93A21" w:rsidRPr="00D40DC4">
        <w:rPr>
          <w:rFonts w:cs="Arial"/>
        </w:rPr>
        <w:t>bban az esetben, ha a hasznok nem csak pénzben, de naturáliában sem számszerűsíthetőek</w:t>
      </w:r>
      <w:r w:rsidR="008A7BA3" w:rsidRPr="00D40DC4">
        <w:rPr>
          <w:rFonts w:cs="Arial"/>
        </w:rPr>
        <w:t>,</w:t>
      </w:r>
      <w:r w:rsidR="00D93A21" w:rsidRPr="00D40DC4">
        <w:rPr>
          <w:rFonts w:cs="Arial"/>
        </w:rPr>
        <w:t xml:space="preserve"> kvalitatív elemzés elvégzésére van szükség A projekt elfogadása szempontjából fontos szempontok</w:t>
      </w:r>
      <w:r w:rsidRPr="00D40DC4">
        <w:rPr>
          <w:rFonts w:cs="Arial"/>
        </w:rPr>
        <w:t>at</w:t>
      </w:r>
      <w:r w:rsidR="00D93A21" w:rsidRPr="00D40DC4">
        <w:rPr>
          <w:rFonts w:cs="Arial"/>
        </w:rPr>
        <w:t xml:space="preserve"> (</w:t>
      </w:r>
      <w:r w:rsidR="00B3545D" w:rsidRPr="00D40DC4">
        <w:rPr>
          <w:rFonts w:cs="Arial"/>
        </w:rPr>
        <w:t xml:space="preserve">pl. </w:t>
      </w:r>
      <w:r w:rsidR="00D93A21" w:rsidRPr="00D40DC4">
        <w:rPr>
          <w:rFonts w:cs="Arial"/>
        </w:rPr>
        <w:t>tőke, környezeti hatások, esélyegyenlőség</w:t>
      </w:r>
      <w:r w:rsidR="00B3545D" w:rsidRPr="00D40DC4">
        <w:rPr>
          <w:rFonts w:cs="Arial"/>
        </w:rPr>
        <w:t xml:space="preserve"> stb.</w:t>
      </w:r>
      <w:r w:rsidR="00D93A21" w:rsidRPr="00D40DC4">
        <w:rPr>
          <w:rFonts w:cs="Arial"/>
        </w:rPr>
        <w:t xml:space="preserve">) összegyűjtését a projekt hatásaival együtt mátrixba </w:t>
      </w:r>
      <w:r w:rsidRPr="00D40DC4">
        <w:rPr>
          <w:rFonts w:cs="Arial"/>
        </w:rPr>
        <w:t>célszerű rendezni</w:t>
      </w:r>
      <w:r w:rsidR="00B3545D" w:rsidRPr="00D40DC4">
        <w:rPr>
          <w:rFonts w:cs="Arial"/>
        </w:rPr>
        <w:t>.</w:t>
      </w:r>
      <w:r w:rsidR="00D93A21" w:rsidRPr="00D40DC4">
        <w:rPr>
          <w:rFonts w:cs="Arial"/>
        </w:rPr>
        <w:t xml:space="preserve"> </w:t>
      </w:r>
      <w:r w:rsidR="008A7BA3" w:rsidRPr="00D40DC4">
        <w:rPr>
          <w:rFonts w:cs="Arial"/>
        </w:rPr>
        <w:t>Egy másik mátrixban a releváns szempontokhoz súlyokat kell rendelni. A két mátrix alapján képzett pontszámok valamint súlyok szorzata lehetővé teszi a legjobb változat kiválasztását.</w:t>
      </w:r>
      <w:r w:rsidR="008A7BA3" w:rsidRPr="00D40DC4">
        <w:t xml:space="preserve"> </w:t>
      </w:r>
    </w:p>
    <w:p w:rsidR="00322396" w:rsidRPr="00D40DC4" w:rsidRDefault="00322396" w:rsidP="00DD7E6C">
      <w:pPr>
        <w:pStyle w:val="Cmsor3"/>
      </w:pPr>
      <w:bookmarkStart w:id="345" w:name="_Toc428260338"/>
      <w:bookmarkStart w:id="346" w:name="_Toc428280302"/>
      <w:bookmarkStart w:id="347" w:name="_Toc428430410"/>
      <w:bookmarkStart w:id="348" w:name="_Toc428431374"/>
      <w:bookmarkStart w:id="349" w:name="_Toc428635954"/>
      <w:bookmarkStart w:id="350" w:name="_Toc428771532"/>
      <w:bookmarkStart w:id="351" w:name="_Toc170700405"/>
      <w:bookmarkStart w:id="352" w:name="_Toc170705912"/>
      <w:bookmarkStart w:id="353" w:name="_Toc170707316"/>
      <w:bookmarkStart w:id="354" w:name="_Toc170700408"/>
      <w:bookmarkStart w:id="355" w:name="_Toc170705915"/>
      <w:bookmarkStart w:id="356" w:name="_Toc170707319"/>
      <w:bookmarkStart w:id="357" w:name="_Toc161048069"/>
      <w:bookmarkStart w:id="358" w:name="_Toc177825037"/>
      <w:bookmarkStart w:id="359" w:name="_Toc241657510"/>
      <w:bookmarkStart w:id="360" w:name="_Toc228260731"/>
      <w:bookmarkStart w:id="361" w:name="_Toc436923890"/>
      <w:bookmarkEnd w:id="345"/>
      <w:bookmarkEnd w:id="346"/>
      <w:bookmarkEnd w:id="347"/>
      <w:bookmarkEnd w:id="348"/>
      <w:bookmarkEnd w:id="349"/>
      <w:bookmarkEnd w:id="350"/>
      <w:bookmarkEnd w:id="351"/>
      <w:bookmarkEnd w:id="352"/>
      <w:bookmarkEnd w:id="353"/>
      <w:bookmarkEnd w:id="354"/>
      <w:bookmarkEnd w:id="355"/>
      <w:bookmarkEnd w:id="356"/>
      <w:r w:rsidRPr="00D40DC4">
        <w:t>Költség-hatékonyság elemzés</w:t>
      </w:r>
      <w:bookmarkEnd w:id="357"/>
      <w:bookmarkEnd w:id="358"/>
      <w:bookmarkEnd w:id="359"/>
      <w:bookmarkEnd w:id="360"/>
      <w:bookmarkEnd w:id="361"/>
    </w:p>
    <w:p w:rsidR="00322396" w:rsidRPr="00D40DC4" w:rsidRDefault="00322396" w:rsidP="00221929">
      <w:pPr>
        <w:rPr>
          <w:rFonts w:cs="Arial"/>
        </w:rPr>
      </w:pPr>
      <w:r w:rsidRPr="00D40DC4">
        <w:rPr>
          <w:rFonts w:cs="Arial"/>
        </w:rPr>
        <w:t>A költség-hatékonyság elemzés folyamatát az alábbi ábra mutatja be.</w:t>
      </w:r>
    </w:p>
    <w:p w:rsidR="00D17838" w:rsidRPr="00D40DC4" w:rsidRDefault="00D17838" w:rsidP="00221929">
      <w:pPr>
        <w:rPr>
          <w:rFonts w:cs="Arial"/>
        </w:rPr>
      </w:pPr>
    </w:p>
    <w:p w:rsidR="00191B0F" w:rsidRPr="00D40DC4" w:rsidRDefault="00191B0F" w:rsidP="00221929">
      <w:pPr>
        <w:rPr>
          <w:rFonts w:cs="Arial"/>
        </w:rPr>
      </w:pPr>
    </w:p>
    <w:p w:rsidR="00191B0F" w:rsidRPr="00D40DC4" w:rsidRDefault="00191B0F" w:rsidP="00221929">
      <w:pPr>
        <w:rPr>
          <w:rFonts w:cs="Arial"/>
        </w:rPr>
      </w:pPr>
    </w:p>
    <w:bookmarkStart w:id="362" w:name="_Toc426985509"/>
    <w:p w:rsidR="00322396" w:rsidRPr="00D40DC4" w:rsidRDefault="00670C1D" w:rsidP="00E8437F">
      <w:r w:rsidRPr="00D40DC4">
        <w:fldChar w:fldCharType="begin"/>
      </w:r>
      <w:r w:rsidRPr="00D40DC4">
        <w:instrText xml:space="preserve"> SEQ ábra \* ARABIC </w:instrText>
      </w:r>
      <w:r w:rsidRPr="00D40DC4">
        <w:fldChar w:fldCharType="separate"/>
      </w:r>
      <w:bookmarkStart w:id="363" w:name="_Toc436923929"/>
      <w:r w:rsidR="007B4938" w:rsidRPr="00D40DC4">
        <w:rPr>
          <w:noProof/>
        </w:rPr>
        <w:t>3</w:t>
      </w:r>
      <w:r w:rsidRPr="00D40DC4">
        <w:fldChar w:fldCharType="end"/>
      </w:r>
      <w:r w:rsidR="00322396" w:rsidRPr="00D40DC4">
        <w:t>. ábra: A Költség-hatékonyság elemzés folyamata</w:t>
      </w:r>
      <w:bookmarkEnd w:id="362"/>
      <w:bookmarkEnd w:id="363"/>
    </w:p>
    <w:p w:rsidR="00D17838" w:rsidRPr="00D40DC4" w:rsidRDefault="00D17838" w:rsidP="00E8437F">
      <w:r w:rsidRPr="00D40DC4">
        <w:rPr>
          <w:noProof/>
          <w:lang w:eastAsia="hu-HU"/>
        </w:rPr>
        <mc:AlternateContent>
          <mc:Choice Requires="wpc">
            <w:drawing>
              <wp:inline distT="0" distB="0" distL="0" distR="0" wp14:anchorId="334E7749" wp14:editId="6442FB9E">
                <wp:extent cx="5759532" cy="3200400"/>
                <wp:effectExtent l="0" t="0" r="0" b="0"/>
                <wp:docPr id="12" name="Vászon 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1" name="Rectangle 154"/>
                        <wps:cNvSpPr>
                          <a:spLocks noChangeArrowheads="1"/>
                        </wps:cNvSpPr>
                        <wps:spPr bwMode="auto">
                          <a:xfrm>
                            <a:off x="47625" y="1154725"/>
                            <a:ext cx="1625600" cy="683260"/>
                          </a:xfrm>
                          <a:prstGeom prst="rect">
                            <a:avLst/>
                          </a:prstGeom>
                          <a:solidFill>
                            <a:srgbClr val="FFFFFF"/>
                          </a:solidFill>
                          <a:ln w="6985">
                            <a:solidFill>
                              <a:srgbClr val="000000"/>
                            </a:solidFill>
                            <a:miter lim="800000"/>
                            <a:headEnd/>
                            <a:tailEnd/>
                          </a:ln>
                        </wps:spPr>
                        <wps:txbx>
                          <w:txbxContent>
                            <w:p w:rsidR="00657272" w:rsidRDefault="00657272" w:rsidP="00971B70">
                              <w:r>
                                <w:t>Beavatkozási változatra vonatkozó költségbecslés</w:t>
                              </w:r>
                            </w:p>
                          </w:txbxContent>
                        </wps:txbx>
                        <wps:bodyPr rot="0" vert="horz" wrap="square" lIns="36000" tIns="36000" rIns="36000" bIns="36000" anchor="t" anchorCtr="0" upright="1">
                          <a:noAutofit/>
                        </wps:bodyPr>
                      </wps:wsp>
                      <wps:wsp>
                        <wps:cNvPr id="262" name="Rectangle 156"/>
                        <wps:cNvSpPr>
                          <a:spLocks noChangeArrowheads="1"/>
                        </wps:cNvSpPr>
                        <wps:spPr bwMode="auto">
                          <a:xfrm>
                            <a:off x="47625" y="1872910"/>
                            <a:ext cx="1625600" cy="1175090"/>
                          </a:xfrm>
                          <a:prstGeom prst="rect">
                            <a:avLst/>
                          </a:prstGeom>
                          <a:solidFill>
                            <a:srgbClr val="FFFFFF"/>
                          </a:solidFill>
                          <a:ln w="6985">
                            <a:solidFill>
                              <a:srgbClr val="000000"/>
                            </a:solidFill>
                            <a:miter lim="800000"/>
                            <a:headEnd/>
                            <a:tailEnd/>
                          </a:ln>
                        </wps:spPr>
                        <wps:txbx>
                          <w:txbxContent>
                            <w:p w:rsidR="00657272" w:rsidRDefault="00657272" w:rsidP="00971B70">
                              <w:r>
                                <w:t>Várható állapothoz tartozó hatásbecslés</w:t>
                              </w:r>
                            </w:p>
                            <w:p w:rsidR="00657272" w:rsidRPr="001B452D" w:rsidRDefault="00657272" w:rsidP="00971B70">
                              <w:r w:rsidRPr="001B452D">
                                <w:t>Hatások számbavétele, ugyanabban a naturáliában történő számszerűsítése</w:t>
                              </w:r>
                            </w:p>
                          </w:txbxContent>
                        </wps:txbx>
                        <wps:bodyPr rot="0" vert="horz" wrap="square" lIns="36000" tIns="36000" rIns="36000" bIns="36000" anchor="t" anchorCtr="0" upright="1">
                          <a:noAutofit/>
                        </wps:bodyPr>
                      </wps:wsp>
                      <wps:wsp>
                        <wps:cNvPr id="288" name="Rectangle 152"/>
                        <wps:cNvSpPr>
                          <a:spLocks noChangeArrowheads="1"/>
                        </wps:cNvSpPr>
                        <wps:spPr bwMode="auto">
                          <a:xfrm>
                            <a:off x="47620" y="94275"/>
                            <a:ext cx="2727960" cy="533045"/>
                          </a:xfrm>
                          <a:prstGeom prst="rect">
                            <a:avLst/>
                          </a:prstGeom>
                          <a:solidFill>
                            <a:srgbClr val="FFFFFF"/>
                          </a:solidFill>
                          <a:ln w="6985">
                            <a:solidFill>
                              <a:srgbClr val="000000"/>
                            </a:solidFill>
                            <a:miter lim="800000"/>
                            <a:headEnd/>
                            <a:tailEnd/>
                          </a:ln>
                        </wps:spPr>
                        <wps:txbx>
                          <w:txbxContent>
                            <w:p w:rsidR="00657272" w:rsidRDefault="00657272" w:rsidP="001B452D">
                              <w:pPr>
                                <w:spacing w:after="0"/>
                                <w:jc w:val="center"/>
                                <w:rPr>
                                  <w:rFonts w:cstheme="minorHAnsi"/>
                                  <w:b/>
                                  <w:caps/>
                                </w:rPr>
                              </w:pPr>
                            </w:p>
                            <w:p w:rsidR="00657272" w:rsidRPr="001B452D" w:rsidRDefault="00657272" w:rsidP="001B452D">
                              <w:pPr>
                                <w:spacing w:after="0"/>
                                <w:jc w:val="center"/>
                                <w:rPr>
                                  <w:rFonts w:cstheme="minorHAnsi"/>
                                  <w:b/>
                                  <w:caps/>
                                </w:rPr>
                              </w:pPr>
                              <w:r w:rsidRPr="001B452D">
                                <w:rPr>
                                  <w:rFonts w:cstheme="minorHAnsi"/>
                                  <w:b/>
                                  <w:caps/>
                                </w:rPr>
                                <w:t>Döntési változatonkénti elemzés</w:t>
                              </w:r>
                            </w:p>
                          </w:txbxContent>
                        </wps:txbx>
                        <wps:bodyPr rot="0" vert="horz" wrap="square" lIns="36000" tIns="36000" rIns="36000" bIns="36000" anchor="t" anchorCtr="0" upright="1">
                          <a:noAutofit/>
                        </wps:bodyPr>
                      </wps:wsp>
                      <wps:wsp>
                        <wps:cNvPr id="289" name="Rectangle 159"/>
                        <wps:cNvSpPr>
                          <a:spLocks noChangeArrowheads="1"/>
                        </wps:cNvSpPr>
                        <wps:spPr bwMode="auto">
                          <a:xfrm>
                            <a:off x="2255180" y="1701460"/>
                            <a:ext cx="1371600" cy="613115"/>
                          </a:xfrm>
                          <a:prstGeom prst="rect">
                            <a:avLst/>
                          </a:prstGeom>
                          <a:solidFill>
                            <a:srgbClr val="FFFFFF"/>
                          </a:solidFill>
                          <a:ln w="6985">
                            <a:solidFill>
                              <a:srgbClr val="000000"/>
                            </a:solidFill>
                            <a:miter lim="800000"/>
                            <a:headEnd/>
                            <a:tailEnd/>
                          </a:ln>
                        </wps:spPr>
                        <wps:txbx>
                          <w:txbxContent>
                            <w:p w:rsidR="00657272" w:rsidRDefault="00657272" w:rsidP="001B452D">
                              <w:pPr>
                                <w:jc w:val="center"/>
                              </w:pPr>
                              <w:r>
                                <w:t>Költségek és hatások összevetése</w:t>
                              </w:r>
                            </w:p>
                          </w:txbxContent>
                        </wps:txbx>
                        <wps:bodyPr rot="0" vert="horz" wrap="square" lIns="36000" tIns="36000" rIns="36000" bIns="36000" anchor="t" anchorCtr="0" upright="1">
                          <a:noAutofit/>
                        </wps:bodyPr>
                      </wps:wsp>
                      <wps:wsp>
                        <wps:cNvPr id="292" name="Rectangle 165"/>
                        <wps:cNvSpPr>
                          <a:spLocks noChangeArrowheads="1"/>
                        </wps:cNvSpPr>
                        <wps:spPr bwMode="auto">
                          <a:xfrm>
                            <a:off x="4119585" y="1701460"/>
                            <a:ext cx="1366815" cy="613115"/>
                          </a:xfrm>
                          <a:prstGeom prst="rect">
                            <a:avLst/>
                          </a:prstGeom>
                          <a:solidFill>
                            <a:srgbClr val="FFFFFF"/>
                          </a:solidFill>
                          <a:ln w="6985">
                            <a:solidFill>
                              <a:srgbClr val="000000"/>
                            </a:solidFill>
                            <a:miter lim="800000"/>
                            <a:headEnd/>
                            <a:tailEnd/>
                          </a:ln>
                        </wps:spPr>
                        <wps:txbx>
                          <w:txbxContent>
                            <w:p w:rsidR="00657272" w:rsidRDefault="00657272" w:rsidP="00971B70">
                              <w:r>
                                <w:t>Döntési változatok sorbarendezése</w:t>
                              </w:r>
                            </w:p>
                          </w:txbxContent>
                        </wps:txbx>
                        <wps:bodyPr rot="0" vert="horz" wrap="square" lIns="36000" tIns="36000" rIns="36000" bIns="36000" anchor="t" anchorCtr="0" upright="1">
                          <a:noAutofit/>
                        </wps:bodyPr>
                      </wps:wsp>
                      <wps:wsp>
                        <wps:cNvPr id="295" name="Rectangle 163"/>
                        <wps:cNvSpPr>
                          <a:spLocks noChangeArrowheads="1"/>
                        </wps:cNvSpPr>
                        <wps:spPr bwMode="auto">
                          <a:xfrm>
                            <a:off x="4181475" y="693080"/>
                            <a:ext cx="1226185" cy="461645"/>
                          </a:xfrm>
                          <a:prstGeom prst="rect">
                            <a:avLst/>
                          </a:prstGeom>
                          <a:solidFill>
                            <a:srgbClr val="FFFFFF"/>
                          </a:solidFill>
                          <a:ln w="6985">
                            <a:solidFill>
                              <a:srgbClr val="000000"/>
                            </a:solidFill>
                            <a:prstDash val="dash"/>
                            <a:miter lim="800000"/>
                            <a:headEnd/>
                            <a:tailEnd/>
                          </a:ln>
                        </wps:spPr>
                        <wps:txbx>
                          <w:txbxContent>
                            <w:p w:rsidR="00657272" w:rsidRDefault="00657272" w:rsidP="00971B70">
                              <w:r>
                                <w:t>Döntési kritérium: legkisebb költség</w:t>
                              </w:r>
                            </w:p>
                          </w:txbxContent>
                        </wps:txbx>
                        <wps:bodyPr rot="0" vert="horz" wrap="square" lIns="36000" tIns="36000" rIns="36000" bIns="36000" anchor="t" anchorCtr="0" upright="1">
                          <a:noAutofit/>
                        </wps:bodyPr>
                      </wps:wsp>
                      <wps:wsp>
                        <wps:cNvPr id="32" name="Egyenes összekötő nyíllal 32"/>
                        <wps:cNvCnPr>
                          <a:stCxn id="261" idx="3"/>
                          <a:endCxn id="289" idx="1"/>
                        </wps:cNvCnPr>
                        <wps:spPr>
                          <a:xfrm>
                            <a:off x="1673225" y="1496355"/>
                            <a:ext cx="581955" cy="5116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 name="Egyenes összekötő nyíllal 299"/>
                        <wps:cNvCnPr>
                          <a:stCxn id="262" idx="3"/>
                          <a:endCxn id="289" idx="1"/>
                        </wps:cNvCnPr>
                        <wps:spPr>
                          <a:xfrm flipV="1">
                            <a:off x="1673225" y="2008018"/>
                            <a:ext cx="581955" cy="4524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5" name="Egyenes összekötő nyíllal 305"/>
                        <wps:cNvCnPr>
                          <a:stCxn id="289" idx="3"/>
                          <a:endCxn id="292" idx="1"/>
                        </wps:cNvCnPr>
                        <wps:spPr>
                          <a:xfrm>
                            <a:off x="3626780" y="2008018"/>
                            <a:ext cx="4928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0" name="Egyenes összekötő nyíllal 310"/>
                        <wps:cNvCnPr>
                          <a:stCxn id="295" idx="2"/>
                          <a:endCxn id="292" idx="0"/>
                        </wps:cNvCnPr>
                        <wps:spPr>
                          <a:xfrm>
                            <a:off x="4794568" y="1154725"/>
                            <a:ext cx="8425" cy="546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1" name="Rectangle 152"/>
                        <wps:cNvSpPr>
                          <a:spLocks noChangeArrowheads="1"/>
                        </wps:cNvSpPr>
                        <wps:spPr bwMode="auto">
                          <a:xfrm>
                            <a:off x="3852059" y="94275"/>
                            <a:ext cx="1860255" cy="455930"/>
                          </a:xfrm>
                          <a:prstGeom prst="rect">
                            <a:avLst/>
                          </a:prstGeom>
                          <a:solidFill>
                            <a:srgbClr val="FFFFFF"/>
                          </a:solidFill>
                          <a:ln w="6985">
                            <a:noFill/>
                            <a:miter lim="800000"/>
                            <a:headEnd/>
                            <a:tailEnd/>
                          </a:ln>
                        </wps:spPr>
                        <wps:txbx>
                          <w:txbxContent>
                            <w:p w:rsidR="00657272" w:rsidRPr="001B452D" w:rsidRDefault="00657272" w:rsidP="00971B70">
                              <w:pPr>
                                <w:jc w:val="center"/>
                                <w:rPr>
                                  <w:b/>
                                </w:rPr>
                              </w:pPr>
                              <w:r w:rsidRPr="001B452D">
                                <w:rPr>
                                  <w:rFonts w:eastAsia="Calibri" w:cs="Calibri"/>
                                  <w:b/>
                                  <w:caps/>
                                  <w:szCs w:val="20"/>
                                </w:rPr>
                                <w:t>DöntÉsi változatok összevetése</w:t>
                              </w:r>
                            </w:p>
                          </w:txbxContent>
                        </wps:txbx>
                        <wps:bodyPr rot="0" vert="horz" wrap="square" lIns="36000" tIns="36000" rIns="36000" bIns="36000" anchor="t" anchorCtr="0" upright="1">
                          <a:noAutofit/>
                        </wps:bodyPr>
                      </wps:wsp>
                    </wpc:wpc>
                  </a:graphicData>
                </a:graphic>
              </wp:inline>
            </w:drawing>
          </mc:Choice>
          <mc:Fallback>
            <w:pict>
              <v:group w14:anchorId="334E7749" id="Vászon 12" o:spid="_x0000_s1099" editas="canvas" style="width:453.5pt;height:252pt;mso-position-horizontal-relative:char;mso-position-vertical-relative:line" coordsize="5759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">
                <v:shape id="_x0000_s1100" type="#_x0000_t75" style="position:absolute;width:57594;height:32004;visibility:visible;mso-wrap-style:square">
                  <v:fill o:detectmouseclick="t"/>
                  <v:path o:connecttype="none"/>
                </v:shape>
                <v:rect id="Rectangle 154" o:spid="_x0000_s1101" style="position:absolute;left:476;top:11547;width:16256;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" strokeweight=".55pt">
                  <v:textbox inset="1mm,1mm,1mm,1mm">
                    <w:txbxContent>
                      <w:p w:rsidR="00657272" w:rsidRDefault="00657272" w:rsidP="00971B70">
                        <w:r>
                          <w:t>Beavatkozási változatra vonatkozó költségbecslés</w:t>
                        </w:r>
                      </w:p>
                    </w:txbxContent>
                  </v:textbox>
                </v:rect>
                <v:rect id="Rectangle 156" o:spid="_x0000_s1102" style="position:absolute;left:476;top:18729;width:16256;height:1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" strokeweight=".55pt">
                  <v:textbox inset="1mm,1mm,1mm,1mm">
                    <w:txbxContent>
                      <w:p w:rsidR="00657272" w:rsidRDefault="00657272" w:rsidP="00971B70">
                        <w:r>
                          <w:t>Várható állapothoz tartozó hatásbecslés</w:t>
                        </w:r>
                      </w:p>
                      <w:p w:rsidR="00657272" w:rsidRPr="001B452D" w:rsidRDefault="00657272" w:rsidP="00971B70">
                        <w:r w:rsidRPr="001B452D">
                          <w:t>Hatások számbavétele, ugyanabban a naturáliában történő számszerűsítése</w:t>
                        </w:r>
                      </w:p>
                    </w:txbxContent>
                  </v:textbox>
                </v:rect>
                <v:rect id="Rectangle 152" o:spid="_x0000_s1103" style="position:absolute;left:476;top:942;width:27279;height:5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" strokeweight=".55pt">
                  <v:textbox inset="1mm,1mm,1mm,1mm">
                    <w:txbxContent>
                      <w:p w:rsidR="00657272" w:rsidRDefault="00657272" w:rsidP="001B452D">
                        <w:pPr>
                          <w:spacing w:after="0"/>
                          <w:jc w:val="center"/>
                          <w:rPr>
                            <w:rFonts w:cstheme="minorHAnsi"/>
                            <w:b/>
                            <w:caps/>
                          </w:rPr>
                        </w:pPr>
                      </w:p>
                      <w:p w:rsidR="00657272" w:rsidRPr="001B452D" w:rsidRDefault="00657272" w:rsidP="001B452D">
                        <w:pPr>
                          <w:spacing w:after="0"/>
                          <w:jc w:val="center"/>
                          <w:rPr>
                            <w:rFonts w:cstheme="minorHAnsi"/>
                            <w:b/>
                            <w:caps/>
                          </w:rPr>
                        </w:pPr>
                        <w:r w:rsidRPr="001B452D">
                          <w:rPr>
                            <w:rFonts w:cstheme="minorHAnsi"/>
                            <w:b/>
                            <w:caps/>
                          </w:rPr>
                          <w:t>Döntési változatonkénti elemzés</w:t>
                        </w:r>
                      </w:p>
                    </w:txbxContent>
                  </v:textbox>
                </v:rect>
                <v:rect id="Rectangle 159" o:spid="_x0000_s1104" style="position:absolute;left:22551;top:17014;width:13716;height:6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" strokeweight=".55pt">
                  <v:textbox inset="1mm,1mm,1mm,1mm">
                    <w:txbxContent>
                      <w:p w:rsidR="00657272" w:rsidRDefault="00657272" w:rsidP="001B452D">
                        <w:pPr>
                          <w:jc w:val="center"/>
                        </w:pPr>
                        <w:r>
                          <w:t>Költségek és hatások összevetése</w:t>
                        </w:r>
                      </w:p>
                    </w:txbxContent>
                  </v:textbox>
                </v:rect>
                <v:rect id="Rectangle 165" o:spid="_x0000_s1105" style="position:absolute;left:41195;top:17014;width:13669;height:6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" strokeweight=".55pt">
                  <v:textbox inset="1mm,1mm,1mm,1mm">
                    <w:txbxContent>
                      <w:p w:rsidR="00657272" w:rsidRDefault="00657272" w:rsidP="00971B70">
                        <w:r>
                          <w:t>Döntési változatok sorbarendezése</w:t>
                        </w:r>
                      </w:p>
                    </w:txbxContent>
                  </v:textbox>
                </v:rect>
                <v:rect id="Rectangle 163" o:spid="_x0000_s1106" style="position:absolute;left:41814;top:6930;width:12262;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" strokeweight=".55pt">
                  <v:stroke dashstyle="dash"/>
                  <v:textbox inset="1mm,1mm,1mm,1mm">
                    <w:txbxContent>
                      <w:p w:rsidR="00657272" w:rsidRDefault="00657272" w:rsidP="00971B70">
                        <w:r>
                          <w:t>Döntési kritérium: legkisebb költség</w:t>
                        </w:r>
                      </w:p>
                    </w:txbxContent>
                  </v:textbox>
                </v:rect>
                <v:shapetype id="_x0000_t32" coordsize="21600,21600" o:spt="32" o:oned="t" path="m,l21600,21600e" filled="f">
                  <v:path arrowok="t" fillok="f" o:connecttype="none"/>
                  <o:lock v:ext="edit" shapetype="t"/>
                </v:shapetype>
                <v:shape id="Egyenes összekötő nyíllal 32" o:spid="_x0000_s1107" type="#_x0000_t32" style="position:absolute;left:16732;top:14963;width:5819;height:5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uwwAAANsAAAAPAAAAZHJzL2Rvd25yZXYueG1sRI9Pi8Iw&#10;FMTvC36H8ARva6qL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5kPu7sMAAADbAAAADwAA&#10;AAAAAAAAAAAAAAAHAgAAZHJzL2Rvd25yZXYueG1sUEsFBgAAAAADAAMAtwAAAPcCAAAAAA==&#10;" strokecolor="black [3200]" strokeweight=".5pt">
                  <v:stroke endarrow="block" joinstyle="miter"/>
                </v:shape>
                <v:shape id="Egyenes összekötő nyíllal 299" o:spid="_x0000_s1108" type="#_x0000_t32" style="position:absolute;left:16732;top:20080;width:5819;height:4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" strokecolor="black [3200]" strokeweight=".5pt">
                  <v:stroke endarrow="block" joinstyle="miter"/>
                </v:shape>
                <v:shape id="Egyenes összekötő nyíllal 305" o:spid="_x0000_s1109" type="#_x0000_t32" style="position:absolute;left:36267;top:20080;width:49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" strokecolor="black [3200]" strokeweight=".5pt">
                  <v:stroke endarrow="block" joinstyle="miter"/>
                </v:shape>
                <v:shape id="Egyenes összekötő nyíllal 310" o:spid="_x0000_s1110" type="#_x0000_t32" style="position:absolute;left:47945;top:11547;width:84;height:5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" strokecolor="black [3200]" strokeweight=".5pt">
                  <v:stroke endarrow="block" joinstyle="miter"/>
                </v:shape>
                <v:rect id="Rectangle 152" o:spid="_x0000_s1111" style="position:absolute;left:38520;top:942;width:18603;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" stroked="f" strokeweight=".55pt">
                  <v:textbox inset="1mm,1mm,1mm,1mm">
                    <w:txbxContent>
                      <w:p w:rsidR="00657272" w:rsidRPr="001B452D" w:rsidRDefault="00657272" w:rsidP="00971B70">
                        <w:pPr>
                          <w:jc w:val="center"/>
                          <w:rPr>
                            <w:b/>
                          </w:rPr>
                        </w:pPr>
                        <w:r w:rsidRPr="001B452D">
                          <w:rPr>
                            <w:rFonts w:eastAsia="Calibri" w:cs="Calibri"/>
                            <w:b/>
                            <w:caps/>
                            <w:szCs w:val="20"/>
                          </w:rPr>
                          <w:t>DöntÉsi változatok összevetése</w:t>
                        </w:r>
                      </w:p>
                    </w:txbxContent>
                  </v:textbox>
                </v:rect>
                <w10:anchorlock/>
              </v:group>
            </w:pict>
          </mc:Fallback>
        </mc:AlternateContent>
      </w:r>
    </w:p>
    <w:p w:rsidR="00322396" w:rsidRPr="00D40DC4" w:rsidRDefault="0098147B" w:rsidP="00221929">
      <w:pPr>
        <w:rPr>
          <w:rFonts w:cs="Arial"/>
        </w:rPr>
      </w:pPr>
      <w:bookmarkStart w:id="364" w:name="_Toc162861739"/>
      <w:r w:rsidRPr="00D40DC4">
        <w:rPr>
          <w:rFonts w:cs="Arial"/>
        </w:rPr>
        <w:t xml:space="preserve">A </w:t>
      </w:r>
      <w:r w:rsidR="00322396" w:rsidRPr="00D40DC4">
        <w:rPr>
          <w:rFonts w:cs="Arial"/>
        </w:rPr>
        <w:t>projekteknél a költség-hatékonyság elemzéshez a változatokat oly módon kell megfogalmazni, hogy mindegyik változat ugyanolyan célállapot elérésére vonatkozzon. A változatok közti különbség meghatározható a projekt céljának elérését szolgáló megoldási lehetőségek mentén is (pl. műszaki megoldások).</w:t>
      </w:r>
    </w:p>
    <w:p w:rsidR="00322396" w:rsidRPr="00D40DC4" w:rsidRDefault="00322396" w:rsidP="00221929">
      <w:pPr>
        <w:rPr>
          <w:rFonts w:cs="Arial"/>
        </w:rPr>
      </w:pPr>
      <w:r w:rsidRPr="00D40DC4">
        <w:rPr>
          <w:rFonts w:cs="Arial"/>
        </w:rPr>
        <w:t>Az összehasonlítás irányulhat a legkisebb költségű változat kiválasztására. Ha a hatások össze</w:t>
      </w:r>
      <w:r w:rsidR="004E3835" w:rsidRPr="00D40DC4">
        <w:rPr>
          <w:rFonts w:cs="Arial"/>
        </w:rPr>
        <w:t>te</w:t>
      </w:r>
      <w:r w:rsidRPr="00D40DC4">
        <w:rPr>
          <w:rFonts w:cs="Arial"/>
        </w:rPr>
        <w:t xml:space="preserve">ttebbek, </w:t>
      </w:r>
      <w:r w:rsidR="00946AB4" w:rsidRPr="00D40DC4">
        <w:rPr>
          <w:rFonts w:cs="Arial"/>
        </w:rPr>
        <w:t>de egy nevezőre hozhatók, akkor</w:t>
      </w:r>
      <w:r w:rsidRPr="00D40DC4">
        <w:rPr>
          <w:rFonts w:cs="Arial"/>
        </w:rPr>
        <w:t xml:space="preserve"> költség-hatékonysági mutatókat lehet képezni, melynek általános képlete: naturáliában kifejezett változás/forintosított költség. A mutatók tehát azt fejezik ki, hogy egységnyi hatás elérésének mekkora a fajlagos költsége, azaz: </w:t>
      </w:r>
    </w:p>
    <w:p w:rsidR="00E27365" w:rsidRPr="00D40DC4" w:rsidRDefault="002C4DE0" w:rsidP="00221929">
      <w:pPr>
        <w:rPr>
          <w:rFonts w:cs="Arial"/>
        </w:rPr>
      </w:pPr>
      <m:oMathPara>
        <m:oMath>
          <m:f>
            <m:fPr>
              <m:ctrlPr>
                <w:rPr>
                  <w:rFonts w:ascii="Cambria Math" w:hAnsi="Cambria Math" w:cs="Arial"/>
                  <w:i/>
                </w:rPr>
              </m:ctrlPr>
            </m:fPr>
            <m:num>
              <m:r>
                <w:rPr>
                  <w:rFonts w:ascii="Cambria Math" w:hAnsi="Cambria Math" w:cs="Arial"/>
                </w:rPr>
                <m:t>A projekt által elért eredmény természetes mértékegységben kifejezve</m:t>
              </m:r>
            </m:num>
            <m:den>
              <m:r>
                <w:rPr>
                  <w:rFonts w:ascii="Cambria Math" w:hAnsi="Cambria Math" w:cs="Arial"/>
                </w:rPr>
                <m:t>A beruházási költségek nettó jelenértéke + működési költségek nettó jelenértéke</m:t>
              </m:r>
            </m:den>
          </m:f>
        </m:oMath>
      </m:oMathPara>
    </w:p>
    <w:p w:rsidR="00322396" w:rsidRPr="00D40DC4" w:rsidRDefault="00322396" w:rsidP="00221929">
      <w:pPr>
        <w:rPr>
          <w:rFonts w:cs="Arial"/>
        </w:rPr>
      </w:pPr>
      <w:r w:rsidRPr="00D40DC4">
        <w:rPr>
          <w:rFonts w:cs="Arial"/>
        </w:rPr>
        <w:t xml:space="preserve">A mutatók vonatkozhatnak: </w:t>
      </w:r>
    </w:p>
    <w:p w:rsidR="00322396" w:rsidRPr="00D40DC4" w:rsidRDefault="00322396" w:rsidP="006C5A6D">
      <w:pPr>
        <w:numPr>
          <w:ilvl w:val="0"/>
          <w:numId w:val="18"/>
        </w:numPr>
      </w:pPr>
      <w:r w:rsidRPr="00D40DC4">
        <w:t xml:space="preserve">A teljes tervezési időhorizontra, ekkor a számlálóban az összes hatást, a nevezőben a költségek jelenértékét kell szerepeltetni. </w:t>
      </w:r>
    </w:p>
    <w:p w:rsidR="00322396" w:rsidRPr="00D40DC4" w:rsidRDefault="00322396" w:rsidP="006C5A6D">
      <w:pPr>
        <w:numPr>
          <w:ilvl w:val="0"/>
          <w:numId w:val="18"/>
        </w:numPr>
      </w:pPr>
      <w:r w:rsidRPr="00D40DC4">
        <w:t xml:space="preserve">Adott évre, ekkor az éves hatást és a külön képlet szerint számítható éves költséget kell összevetni (éves szintre átszámított beruházási költség + éves működési költség). </w:t>
      </w:r>
    </w:p>
    <w:p w:rsidR="00322396" w:rsidRPr="00D40DC4" w:rsidRDefault="00322396" w:rsidP="005A76C2">
      <w:pPr>
        <w:pStyle w:val="Cmsor4"/>
      </w:pPr>
      <w:bookmarkStart w:id="365" w:name="_Toc177825038"/>
      <w:bookmarkStart w:id="366" w:name="_Toc241657511"/>
      <w:bookmarkStart w:id="367" w:name="_Toc228260732"/>
      <w:r w:rsidRPr="00D40DC4">
        <w:t>A változatok költségeinek és hatásainak becslése</w:t>
      </w:r>
      <w:bookmarkEnd w:id="365"/>
      <w:bookmarkEnd w:id="366"/>
      <w:bookmarkEnd w:id="367"/>
    </w:p>
    <w:p w:rsidR="00322396" w:rsidRPr="00D40DC4" w:rsidRDefault="00322396" w:rsidP="00A518DD">
      <w:pPr>
        <w:pStyle w:val="Cmsor5"/>
      </w:pPr>
      <w:r w:rsidRPr="00D40DC4">
        <w:t>Költségbecslés</w:t>
      </w:r>
    </w:p>
    <w:p w:rsidR="00322396" w:rsidRPr="00D40DC4" w:rsidRDefault="00322396" w:rsidP="00221929">
      <w:pPr>
        <w:rPr>
          <w:rFonts w:cs="Arial"/>
        </w:rPr>
      </w:pPr>
      <w:r w:rsidRPr="00D40DC4">
        <w:rPr>
          <w:rFonts w:cs="Arial"/>
        </w:rPr>
        <w:t>A költségbecslés a közgazdasági költséghaszon elemzésben meghatározottak szerint történik, annyi eltéréssel, hogy a becslések nagyvonalúbbak, legfeljebb tanulmánytervre, tényfeltárási záródokumentációra alapozottak.</w:t>
      </w:r>
    </w:p>
    <w:p w:rsidR="00322396" w:rsidRPr="00D40DC4" w:rsidRDefault="00322396" w:rsidP="00221929">
      <w:pPr>
        <w:rPr>
          <w:rFonts w:cs="Arial"/>
        </w:rPr>
      </w:pPr>
      <w:r w:rsidRPr="00D40DC4">
        <w:rPr>
          <w:rFonts w:cs="Arial"/>
        </w:rPr>
        <w:t>A költség-hatékonyság  mutató meghatározásánál teljes költséget és éves költséget is lehet használni. Éves költségek esetén a beruházási és működési költségek számítása az alábbi:</w:t>
      </w:r>
    </w:p>
    <w:p w:rsidR="00322396" w:rsidRPr="00D40DC4" w:rsidRDefault="00322396" w:rsidP="006F2748">
      <w:pPr>
        <w:numPr>
          <w:ilvl w:val="0"/>
          <w:numId w:val="42"/>
        </w:numPr>
      </w:pPr>
      <w:r w:rsidRPr="00D40DC4">
        <w:t>beruházási költségek: Egyes hatékonysági mutatók számításához az éves költségeket kell az éves hasznokhoz hasonlítani. Ez esetben a beruházási költségekből éves költséget kell számítani a következő képlet segítségével.</w:t>
      </w:r>
    </w:p>
    <w:p w:rsidR="00322396" w:rsidRPr="00D40DC4" w:rsidRDefault="00322396" w:rsidP="00F16AE8">
      <w:pPr>
        <w:ind w:left="709"/>
        <w:rPr>
          <w:rFonts w:cs="Arial"/>
        </w:rPr>
      </w:pPr>
      <w:r w:rsidRPr="00D40DC4">
        <w:rPr>
          <w:rFonts w:cs="Arial"/>
        </w:rPr>
        <w:t>Éves beruházási költség (ACC) =beruházási költség * tőke megtérülési arány</w:t>
      </w:r>
      <w:r w:rsidR="00F16AE8" w:rsidRPr="00D40DC4">
        <w:rPr>
          <w:rFonts w:cs="Arial"/>
        </w:rPr>
        <w:t xml:space="preserve"> </w:t>
      </w:r>
      <w:r w:rsidRPr="00D40DC4">
        <w:rPr>
          <w:rFonts w:cs="Arial"/>
        </w:rPr>
        <w:t>(CRF)</w:t>
      </w:r>
    </w:p>
    <w:p w:rsidR="00322396" w:rsidRPr="00D40DC4" w:rsidRDefault="00322396" w:rsidP="00F16AE8">
      <w:pPr>
        <w:ind w:left="709"/>
        <w:rPr>
          <w:rFonts w:cs="Arial"/>
          <w:sz w:val="24"/>
        </w:rPr>
      </w:pPr>
      <w:r w:rsidRPr="00D40DC4">
        <w:rPr>
          <w:rFonts w:cs="Arial"/>
        </w:rPr>
        <w:t>CRF = r/[1-(1+r)</w:t>
      </w:r>
      <w:r w:rsidRPr="00D40DC4">
        <w:rPr>
          <w:rFonts w:cs="Arial"/>
          <w:vertAlign w:val="superscript"/>
        </w:rPr>
        <w:t>-n</w:t>
      </w:r>
      <w:r w:rsidRPr="00D40DC4">
        <w:rPr>
          <w:rFonts w:cs="Arial"/>
          <w:sz w:val="24"/>
        </w:rPr>
        <w:t>]</w:t>
      </w:r>
    </w:p>
    <w:p w:rsidR="00322396" w:rsidRPr="00D40DC4" w:rsidRDefault="00322396" w:rsidP="00F16AE8">
      <w:pPr>
        <w:ind w:left="709"/>
        <w:rPr>
          <w:rFonts w:cs="Arial"/>
        </w:rPr>
      </w:pPr>
      <w:r w:rsidRPr="00D40DC4">
        <w:rPr>
          <w:rFonts w:cs="Arial"/>
        </w:rPr>
        <w:lastRenderedPageBreak/>
        <w:t>ahol:</w:t>
      </w:r>
    </w:p>
    <w:p w:rsidR="00322396" w:rsidRPr="00D40DC4" w:rsidRDefault="00322396" w:rsidP="00F16AE8">
      <w:pPr>
        <w:ind w:left="1418"/>
        <w:rPr>
          <w:rFonts w:cs="Arial"/>
        </w:rPr>
      </w:pPr>
      <w:r w:rsidRPr="00D40DC4">
        <w:rPr>
          <w:rFonts w:cs="Arial"/>
        </w:rPr>
        <w:t>r = közgazdasági diszkontráta = 5 %</w:t>
      </w:r>
    </w:p>
    <w:p w:rsidR="00322396" w:rsidRPr="00D40DC4" w:rsidRDefault="006C40C2" w:rsidP="00F16AE8">
      <w:pPr>
        <w:ind w:left="1418"/>
        <w:rPr>
          <w:rFonts w:cs="Arial"/>
        </w:rPr>
      </w:pPr>
      <w:r w:rsidRPr="00D40DC4">
        <w:rPr>
          <w:rFonts w:cs="Arial"/>
        </w:rPr>
        <w:t>n</w:t>
      </w:r>
      <w:r w:rsidR="00322396" w:rsidRPr="00D40DC4">
        <w:rPr>
          <w:rFonts w:cs="Arial"/>
        </w:rPr>
        <w:t xml:space="preserve"> = a projekt beruházás élettartama</w:t>
      </w:r>
    </w:p>
    <w:p w:rsidR="00322396" w:rsidRPr="00D40DC4" w:rsidRDefault="00322396" w:rsidP="006C5A6D">
      <w:pPr>
        <w:numPr>
          <w:ilvl w:val="0"/>
          <w:numId w:val="20"/>
        </w:numPr>
      </w:pPr>
      <w:r w:rsidRPr="00D40DC4">
        <w:t>működtetési költségek: A működtetési költségek évente megjelenő költségek. A nettó haszon jelenértékének számítása során a költségeket felmerülésük idején teljes mértékben kell figyelembe venni.</w:t>
      </w:r>
    </w:p>
    <w:p w:rsidR="00F16AE8" w:rsidRPr="00D40DC4" w:rsidRDefault="00F16AE8" w:rsidP="008E60FC"/>
    <w:bookmarkEnd w:id="364"/>
    <w:p w:rsidR="00F16AE8" w:rsidRPr="00D40DC4" w:rsidRDefault="00F16AE8" w:rsidP="00975121">
      <w:pPr>
        <w:rPr>
          <w:rFonts w:cs="Arial"/>
        </w:rPr>
      </w:pPr>
      <w:r w:rsidRPr="00D40DC4">
        <w:rPr>
          <w:rFonts w:cs="Arial"/>
        </w:rPr>
        <w:t>Tekintettel arra, hogy az éves beruházási költség (ACC) és az éves működési költség összeadható, így olyan - beruházást és a működést is figyelembe vevő - éves költséget kapunk, amelynek alapján az egyes projektek reálisan összehasonlíthatók.</w:t>
      </w:r>
    </w:p>
    <w:p w:rsidR="00322396" w:rsidRPr="00D40DC4" w:rsidRDefault="00322396" w:rsidP="00A518DD">
      <w:pPr>
        <w:pStyle w:val="Cmsor5"/>
      </w:pPr>
      <w:r w:rsidRPr="00D40DC4">
        <w:t xml:space="preserve">Hatásbecslés </w:t>
      </w:r>
    </w:p>
    <w:p w:rsidR="00322396" w:rsidRPr="00D40DC4" w:rsidRDefault="00322396" w:rsidP="00221929">
      <w:pPr>
        <w:rPr>
          <w:rFonts w:cs="Arial"/>
        </w:rPr>
      </w:pPr>
      <w:r w:rsidRPr="00D40DC4">
        <w:rPr>
          <w:rFonts w:cs="Arial"/>
        </w:rPr>
        <w:t xml:space="preserve">Az egyes változatokhoz tartozó hatások becslése az alábbi elemekből épül fel: </w:t>
      </w:r>
    </w:p>
    <w:p w:rsidR="00322396" w:rsidRPr="00D40DC4" w:rsidRDefault="00322396" w:rsidP="006C5A6D">
      <w:pPr>
        <w:numPr>
          <w:ilvl w:val="0"/>
          <w:numId w:val="17"/>
        </w:numPr>
      </w:pPr>
      <w:r w:rsidRPr="00D40DC4">
        <w:t>hatások számbavétele</w:t>
      </w:r>
    </w:p>
    <w:p w:rsidR="00322396" w:rsidRPr="00D40DC4" w:rsidRDefault="00322396" w:rsidP="006C5A6D">
      <w:pPr>
        <w:numPr>
          <w:ilvl w:val="0"/>
          <w:numId w:val="17"/>
        </w:numPr>
      </w:pPr>
      <w:r w:rsidRPr="00D40DC4">
        <w:t>hatások naturáliában való kifejezése</w:t>
      </w:r>
    </w:p>
    <w:p w:rsidR="00322396" w:rsidRPr="00D40DC4" w:rsidRDefault="00322396" w:rsidP="005A76C2">
      <w:pPr>
        <w:pStyle w:val="Cmsor4"/>
      </w:pPr>
      <w:bookmarkStart w:id="368" w:name="_Toc161048072"/>
      <w:bookmarkStart w:id="369" w:name="_Toc177825039"/>
      <w:bookmarkStart w:id="370" w:name="_Toc241657512"/>
      <w:bookmarkStart w:id="371" w:name="_Toc228260733"/>
      <w:r w:rsidRPr="00D40DC4">
        <w:t>A döntési változatok összehasonlítása</w:t>
      </w:r>
      <w:bookmarkEnd w:id="368"/>
      <w:r w:rsidRPr="00D40DC4">
        <w:t xml:space="preserve"> és kiválasztása</w:t>
      </w:r>
      <w:bookmarkEnd w:id="369"/>
      <w:bookmarkEnd w:id="370"/>
      <w:bookmarkEnd w:id="371"/>
    </w:p>
    <w:p w:rsidR="00322396" w:rsidRPr="00D40DC4" w:rsidRDefault="00322396" w:rsidP="00221929">
      <w:pPr>
        <w:rPr>
          <w:rFonts w:cs="Arial"/>
        </w:rPr>
      </w:pPr>
      <w:r w:rsidRPr="00D40DC4">
        <w:rPr>
          <w:rFonts w:cs="Arial"/>
        </w:rPr>
        <w:t xml:space="preserve">A döntési változatok sorba rendezése a teljes vizsgált időszak összes költségének jelenértéke alapján történik. </w:t>
      </w:r>
    </w:p>
    <w:p w:rsidR="00322396" w:rsidRPr="00D40DC4" w:rsidRDefault="00322396" w:rsidP="00221929">
      <w:pPr>
        <w:rPr>
          <w:rFonts w:cs="Arial"/>
        </w:rPr>
      </w:pPr>
      <w:r w:rsidRPr="00D40DC4">
        <w:rPr>
          <w:rFonts w:cs="Arial"/>
        </w:rPr>
        <w:t>Ha csak a projekt céljának elérését szolgáló megoldási lehetőségek mentén</w:t>
      </w:r>
      <w:r w:rsidRPr="00D40DC4" w:rsidDel="0091523E">
        <w:rPr>
          <w:rFonts w:cs="Arial"/>
        </w:rPr>
        <w:t xml:space="preserve"> </w:t>
      </w:r>
      <w:r w:rsidRPr="00D40DC4">
        <w:rPr>
          <w:rFonts w:cs="Arial"/>
        </w:rPr>
        <w:t>volt különbség az egyes változatok között, akkor a döntési változatok sorba rendezése a teljes vizsgált időszak összes költségének jelenértéke alapján történik.</w:t>
      </w:r>
    </w:p>
    <w:p w:rsidR="00322396" w:rsidRPr="00D40DC4" w:rsidRDefault="00322396" w:rsidP="00221929">
      <w:pPr>
        <w:rPr>
          <w:rFonts w:cs="Arial"/>
        </w:rPr>
      </w:pPr>
      <w:r w:rsidRPr="00D40DC4">
        <w:rPr>
          <w:rFonts w:cs="Arial"/>
        </w:rPr>
        <w:t>Előfordulhat az is, hogy a különböző megoldási lehetőségek környezeti hatásai jelentősen eltérnek egymástól ugyanazon célállapot esetén. Ebben az esetben a költség-hatékonyság elemzést többszempontú értékeléssel, esetleg egyszerűsített közgazdasági költség-haszon elemzéssel kell kiegészíteni.</w:t>
      </w:r>
    </w:p>
    <w:p w:rsidR="00322396" w:rsidRPr="00D40DC4" w:rsidRDefault="00322396" w:rsidP="00DD7E6C">
      <w:pPr>
        <w:pStyle w:val="Cmsor3"/>
      </w:pPr>
      <w:bookmarkStart w:id="372" w:name="_Toc170700412"/>
      <w:bookmarkStart w:id="373" w:name="_Toc170705919"/>
      <w:bookmarkStart w:id="374" w:name="_Toc170707323"/>
      <w:bookmarkStart w:id="375" w:name="_Toc161048075"/>
      <w:bookmarkStart w:id="376" w:name="_Toc177825040"/>
      <w:bookmarkStart w:id="377" w:name="_Toc241657513"/>
      <w:bookmarkStart w:id="378" w:name="_Toc228260734"/>
      <w:bookmarkStart w:id="379" w:name="_Toc436923891"/>
      <w:bookmarkEnd w:id="372"/>
      <w:bookmarkEnd w:id="373"/>
      <w:bookmarkEnd w:id="374"/>
      <w:r w:rsidRPr="00D40DC4">
        <w:t>Közgazdasági költség-haszon elemzés</w:t>
      </w:r>
      <w:bookmarkEnd w:id="375"/>
      <w:bookmarkEnd w:id="376"/>
      <w:bookmarkEnd w:id="377"/>
      <w:bookmarkEnd w:id="378"/>
      <w:bookmarkEnd w:id="379"/>
    </w:p>
    <w:p w:rsidR="00322396" w:rsidRPr="00D40DC4" w:rsidRDefault="00F16AE8" w:rsidP="006F2748">
      <w:pPr>
        <w:numPr>
          <w:ilvl w:val="0"/>
          <w:numId w:val="46"/>
        </w:numPr>
      </w:pPr>
      <w:r w:rsidRPr="00D40DC4">
        <w:t xml:space="preserve">A </w:t>
      </w:r>
      <w:r w:rsidR="00322396" w:rsidRPr="00D40DC4">
        <w:t>közgazdasági költség-haszon elemzés során a változatok a hatások pénzben kifejezett értéke és a költségek alapján hasonlítható össze. Akkor kell ezt a módszert alkalmazni, ha a változatok hatásai jelentősen eltérnek egymástól.</w:t>
      </w:r>
    </w:p>
    <w:p w:rsidR="00B3545D" w:rsidRPr="00D40DC4" w:rsidRDefault="00322396" w:rsidP="006F2748">
      <w:pPr>
        <w:numPr>
          <w:ilvl w:val="0"/>
          <w:numId w:val="46"/>
        </w:numPr>
      </w:pPr>
      <w:r w:rsidRPr="00D40DC4">
        <w:t xml:space="preserve">Az összevetés </w:t>
      </w:r>
      <w:r w:rsidR="00B3545D" w:rsidRPr="00D40DC4">
        <w:t xml:space="preserve">kétféleképp </w:t>
      </w:r>
      <w:r w:rsidR="005907FD" w:rsidRPr="00D40DC4">
        <w:t>történhet.</w:t>
      </w:r>
    </w:p>
    <w:p w:rsidR="00B3545D" w:rsidRPr="00D40DC4" w:rsidRDefault="00B3545D" w:rsidP="006F2748">
      <w:pPr>
        <w:numPr>
          <w:ilvl w:val="1"/>
          <w:numId w:val="46"/>
        </w:numPr>
      </w:pPr>
      <w:r w:rsidRPr="00D40DC4">
        <w:rPr>
          <w:b/>
        </w:rPr>
        <w:t>közgazdasági nettó jelenérték</w:t>
      </w:r>
      <w:r w:rsidRPr="00D40DC4">
        <w:t xml:space="preserve"> által (ENPV – a projekt következtében létrejött társadalmi hatások és a költségtöbblet jelenértékének különbözete). Az </w:t>
      </w:r>
      <w:r w:rsidRPr="00D40DC4">
        <w:rPr>
          <w:i/>
        </w:rPr>
        <w:t>érték</w:t>
      </w:r>
      <w:r w:rsidRPr="00D40DC4">
        <w:t xml:space="preserve"> azt fejezi ki, hogy a társadalmi költségek levonásával a projekt mekkora volumenű jólétnövekedést ér el.</w:t>
      </w:r>
    </w:p>
    <w:p w:rsidR="00322396" w:rsidRPr="00D40DC4" w:rsidRDefault="00322396" w:rsidP="006F2748">
      <w:pPr>
        <w:numPr>
          <w:ilvl w:val="1"/>
          <w:numId w:val="46"/>
        </w:numPr>
      </w:pPr>
      <w:r w:rsidRPr="00D40DC4">
        <w:rPr>
          <w:b/>
        </w:rPr>
        <w:t>haszon-költség mutat</w:t>
      </w:r>
      <w:r w:rsidR="00B3545D" w:rsidRPr="00D40DC4">
        <w:rPr>
          <w:b/>
        </w:rPr>
        <w:t xml:space="preserve">ó </w:t>
      </w:r>
      <w:r w:rsidR="00B3545D" w:rsidRPr="00D40DC4">
        <w:t>segítségével (BCR - összes többlethatás/összes többletköltség)</w:t>
      </w:r>
      <w:r w:rsidRPr="00D40DC4">
        <w:t xml:space="preserve"> segítségével. A </w:t>
      </w:r>
      <w:r w:rsidRPr="00D40DC4">
        <w:rPr>
          <w:i/>
        </w:rPr>
        <w:t>mutató</w:t>
      </w:r>
      <w:r w:rsidRPr="00D40DC4">
        <w:t xml:space="preserve"> azt fejezi ki, hogy egységnyi költséggel mekkora hatást lehet elérni az egyes változatok esetén.</w:t>
      </w:r>
    </w:p>
    <w:p w:rsidR="00537B03" w:rsidRPr="00D40DC4" w:rsidRDefault="00537B03" w:rsidP="00243044">
      <w:pPr>
        <w:ind w:left="1080"/>
        <w:rPr>
          <w:rFonts w:cs="Arial"/>
        </w:rPr>
      </w:pPr>
      <w:r w:rsidRPr="00D40DC4">
        <w:rPr>
          <w:rFonts w:cs="Arial"/>
        </w:rPr>
        <w:t>Az EU Útmutató (2014-2020) az ENPV</w:t>
      </w:r>
      <w:r w:rsidR="00E27365" w:rsidRPr="00D40DC4">
        <w:rPr>
          <w:rFonts w:cs="Arial"/>
        </w:rPr>
        <w:t>-re</w:t>
      </w:r>
      <w:r w:rsidRPr="00D40DC4">
        <w:rPr>
          <w:rFonts w:cs="Arial"/>
        </w:rPr>
        <w:t xml:space="preserve">, mint </w:t>
      </w:r>
      <w:r w:rsidR="00E27365" w:rsidRPr="00D40DC4">
        <w:rPr>
          <w:rFonts w:cs="Arial"/>
        </w:rPr>
        <w:t xml:space="preserve">döntési </w:t>
      </w:r>
      <w:r w:rsidRPr="00D40DC4">
        <w:rPr>
          <w:rFonts w:cs="Arial"/>
        </w:rPr>
        <w:t>kritérium</w:t>
      </w:r>
      <w:r w:rsidR="00E27365" w:rsidRPr="00D40DC4">
        <w:rPr>
          <w:rFonts w:cs="Arial"/>
        </w:rPr>
        <w:t>ra</w:t>
      </w:r>
      <w:r w:rsidRPr="00D40DC4">
        <w:rPr>
          <w:rFonts w:cs="Arial"/>
        </w:rPr>
        <w:t>, alkalmazására teszi a hangsúlyt. Fontos megjegyezni, hogy azonos méretű projektek és/vagy a források szűkössége esetén mindkét kritérium alkalmazása megfelelő lehet, azonban ha a projekt mérete eltér, akkor a haszon-költség mutató alkalmazása javasolt.</w:t>
      </w:r>
    </w:p>
    <w:p w:rsidR="00322396" w:rsidRPr="00D40DC4" w:rsidRDefault="00322396" w:rsidP="006F2748">
      <w:pPr>
        <w:numPr>
          <w:ilvl w:val="0"/>
          <w:numId w:val="46"/>
        </w:numPr>
      </w:pPr>
      <w:r w:rsidRPr="00D40DC4">
        <w:t>A közgazdasági költség-haszon elemzést minden változatra vonatkozóan azonos szinten, egységesen kell elvégezni. Amennyiben ez nem lehetséges, többszempontú értékelés</w:t>
      </w:r>
      <w:r w:rsidR="00537B03" w:rsidRPr="00D40DC4">
        <w:t xml:space="preserve"> alkalmazása javasolt</w:t>
      </w:r>
      <w:r w:rsidRPr="00D40DC4">
        <w:t>.</w:t>
      </w:r>
    </w:p>
    <w:p w:rsidR="00322396" w:rsidRPr="00D40DC4" w:rsidRDefault="00322396" w:rsidP="00221929">
      <w:pPr>
        <w:rPr>
          <w:rFonts w:cs="Arial"/>
        </w:rPr>
      </w:pPr>
      <w:r w:rsidRPr="00D40DC4">
        <w:rPr>
          <w:rFonts w:cs="Arial"/>
        </w:rPr>
        <w:t>A közgazdasági költség-haszon elemzés során a kiválasztás lépései:</w:t>
      </w:r>
    </w:p>
    <w:p w:rsidR="00322396" w:rsidRPr="00D40DC4" w:rsidRDefault="00322396" w:rsidP="006C5A6D">
      <w:pPr>
        <w:numPr>
          <w:ilvl w:val="0"/>
          <w:numId w:val="19"/>
        </w:numPr>
      </w:pPr>
      <w:r w:rsidRPr="00D40DC4">
        <w:t xml:space="preserve">beruházási és működési költségek becslése, </w:t>
      </w:r>
    </w:p>
    <w:p w:rsidR="00322396" w:rsidRPr="00D40DC4" w:rsidRDefault="00322396" w:rsidP="006C5A6D">
      <w:pPr>
        <w:numPr>
          <w:ilvl w:val="0"/>
          <w:numId w:val="19"/>
        </w:numPr>
      </w:pPr>
      <w:r w:rsidRPr="00D40DC4">
        <w:t>társadalmi-gazdasági hatások becslése</w:t>
      </w:r>
    </w:p>
    <w:p w:rsidR="00322396" w:rsidRPr="00D40DC4" w:rsidRDefault="00322396" w:rsidP="006C5A6D">
      <w:pPr>
        <w:numPr>
          <w:ilvl w:val="0"/>
          <w:numId w:val="19"/>
        </w:numPr>
      </w:pPr>
      <w:r w:rsidRPr="00D40DC4">
        <w:t>változatok összevetése közgazdasági teljesítménymutatók alapján</w:t>
      </w:r>
    </w:p>
    <w:p w:rsidR="00322396" w:rsidRPr="00D40DC4" w:rsidRDefault="00322396" w:rsidP="005A76C2">
      <w:pPr>
        <w:pStyle w:val="Cmsor4"/>
      </w:pPr>
      <w:bookmarkStart w:id="380" w:name="_Toc177825041"/>
      <w:bookmarkStart w:id="381" w:name="_Toc241657514"/>
      <w:bookmarkStart w:id="382" w:name="_Toc228260735"/>
      <w:bookmarkStart w:id="383" w:name="_Toc162861743"/>
      <w:r w:rsidRPr="00D40DC4">
        <w:lastRenderedPageBreak/>
        <w:t>A változatok költségeinek és hatásainak becslése</w:t>
      </w:r>
      <w:bookmarkEnd w:id="380"/>
      <w:bookmarkEnd w:id="381"/>
      <w:bookmarkEnd w:id="382"/>
    </w:p>
    <w:bookmarkEnd w:id="383"/>
    <w:p w:rsidR="00322396" w:rsidRPr="00D40DC4" w:rsidRDefault="00322396" w:rsidP="00A518DD">
      <w:pPr>
        <w:pStyle w:val="Cmsor5"/>
      </w:pPr>
      <w:r w:rsidRPr="00D40DC4">
        <w:t>Költségek becslése</w:t>
      </w:r>
    </w:p>
    <w:p w:rsidR="00322396" w:rsidRPr="00D40DC4" w:rsidRDefault="00322396" w:rsidP="00221929">
      <w:pPr>
        <w:rPr>
          <w:rFonts w:cs="Arial"/>
        </w:rPr>
      </w:pPr>
      <w:r w:rsidRPr="00D40DC4">
        <w:rPr>
          <w:rFonts w:cs="Arial"/>
        </w:rPr>
        <w:t xml:space="preserve">A költségbecslés a közgazdasági költséghaszon elemzésben meghatározottak szerint történik annyi eltéréssel, hogy a becslések nagyvonalúbbak. </w:t>
      </w:r>
    </w:p>
    <w:p w:rsidR="00322396" w:rsidRPr="00D40DC4" w:rsidRDefault="00322396" w:rsidP="00A518DD">
      <w:pPr>
        <w:pStyle w:val="Cmsor5"/>
      </w:pPr>
      <w:r w:rsidRPr="00D40DC4">
        <w:t>Hatások becslése</w:t>
      </w:r>
    </w:p>
    <w:p w:rsidR="00322396" w:rsidRPr="00D40DC4" w:rsidRDefault="00322396" w:rsidP="00221929">
      <w:pPr>
        <w:rPr>
          <w:rFonts w:cs="Arial"/>
        </w:rPr>
      </w:pPr>
      <w:r w:rsidRPr="00D40DC4">
        <w:rPr>
          <w:rFonts w:cs="Arial"/>
        </w:rPr>
        <w:t>A hatások becslése a hasznok pénzben történő meghatározásával a közgazdasági költség-haszon elemzésnél leírtak szerint történik.</w:t>
      </w:r>
    </w:p>
    <w:p w:rsidR="00322396" w:rsidRPr="00D40DC4" w:rsidRDefault="00322396" w:rsidP="005A76C2">
      <w:pPr>
        <w:pStyle w:val="Cmsor4"/>
      </w:pPr>
      <w:bookmarkStart w:id="384" w:name="_Toc177825042"/>
      <w:bookmarkStart w:id="385" w:name="_Toc241657515"/>
      <w:bookmarkStart w:id="386" w:name="_Toc228260736"/>
      <w:r w:rsidRPr="00D40DC4">
        <w:t>A döntési változatok összehasonlítása és kiválasztása</w:t>
      </w:r>
      <w:bookmarkEnd w:id="384"/>
      <w:bookmarkEnd w:id="385"/>
      <w:bookmarkEnd w:id="386"/>
    </w:p>
    <w:p w:rsidR="006003C4" w:rsidRPr="00D40DC4" w:rsidRDefault="006003C4" w:rsidP="00221929">
      <w:pPr>
        <w:rPr>
          <w:rFonts w:cs="Arial"/>
        </w:rPr>
      </w:pPr>
      <w:r w:rsidRPr="00D40DC4">
        <w:rPr>
          <w:rFonts w:cs="Arial"/>
        </w:rPr>
        <w:t>A változatokat alapvetően a közgazdasági nettó jelenértékük (ENPV) alapján kell összehasonlítani. Adott esetben a haszon-költség mutató (BCR) illetve az közgazdasági belső megtérülési ráta (ERR) használata is elfogadható, különösen, ha a projektek mérete eltér. A fő probléma előbbivel, hogy érzékeny adott mértékű költségcsökkentés és/vagy haszonnövekményre, míg utóbbival, hogy bizonyos esetekben több belső megtérülési ráta is szá</w:t>
      </w:r>
      <w:r w:rsidR="00243044" w:rsidRPr="00D40DC4">
        <w:rPr>
          <w:rFonts w:cs="Arial"/>
        </w:rPr>
        <w:t>m</w:t>
      </w:r>
      <w:r w:rsidRPr="00D40DC4">
        <w:rPr>
          <w:rFonts w:cs="Arial"/>
        </w:rPr>
        <w:t>ítható.</w:t>
      </w:r>
    </w:p>
    <w:p w:rsidR="00243044" w:rsidRPr="00D40DC4" w:rsidRDefault="00322396" w:rsidP="00221929">
      <w:pPr>
        <w:rPr>
          <w:rFonts w:cs="Arial"/>
        </w:rPr>
      </w:pPr>
      <w:r w:rsidRPr="00D40DC4">
        <w:rPr>
          <w:rFonts w:cs="Arial"/>
        </w:rPr>
        <w:t>Azon változatok</w:t>
      </w:r>
      <w:r w:rsidR="00243044" w:rsidRPr="00D40DC4">
        <w:rPr>
          <w:rFonts w:cs="Arial"/>
        </w:rPr>
        <w:t>at</w:t>
      </w:r>
      <w:r w:rsidRPr="00D40DC4">
        <w:rPr>
          <w:rFonts w:cs="Arial"/>
        </w:rPr>
        <w:t xml:space="preserve">, </w:t>
      </w:r>
      <w:r w:rsidR="00243044" w:rsidRPr="00D40DC4">
        <w:rPr>
          <w:rFonts w:cs="Arial"/>
        </w:rPr>
        <w:t>melyek valamely közgazdasági teljesítménymutatója nem ér el egy előre meghatározott küszöböt, el kell vetni.</w:t>
      </w:r>
    </w:p>
    <w:p w:rsidR="00322396" w:rsidRPr="00D40DC4" w:rsidRDefault="00243044" w:rsidP="00221929">
      <w:pPr>
        <w:rPr>
          <w:rFonts w:cs="Arial"/>
        </w:rPr>
      </w:pPr>
      <w:r w:rsidRPr="00D40DC4">
        <w:rPr>
          <w:rFonts w:cs="Arial"/>
        </w:rPr>
        <w:t xml:space="preserve">Az EU Útmutató (2014-2020) kiemelt jó gyakorlatként nevesíti, hogy amennyiben a projekthez jelentős </w:t>
      </w:r>
      <w:r w:rsidR="00574470" w:rsidRPr="00D40DC4">
        <w:rPr>
          <w:rFonts w:cs="Arial"/>
        </w:rPr>
        <w:t>volumenű,</w:t>
      </w:r>
      <w:r w:rsidRPr="00D40DC4">
        <w:rPr>
          <w:rFonts w:cs="Arial"/>
        </w:rPr>
        <w:t xml:space="preserve"> de nem, vagy nehezen számszerűsíthető hatások is társulnak, azokat a hagyományos CBA mellett, kvalitatív elemzés keretében kell bemutatni és értékelni, így azok segítséget nyújthatnak a változatok közötti döntésben, amennyiben a teljesítménymutatók alapján nem állítható fel egyértelmű sorrend (pl. mert az eltérés nem szignifikáns).</w:t>
      </w:r>
    </w:p>
    <w:p w:rsidR="00322396" w:rsidRPr="00D40DC4" w:rsidRDefault="00322396" w:rsidP="00DD7E6C">
      <w:pPr>
        <w:pStyle w:val="Cmsor3"/>
      </w:pPr>
      <w:bookmarkStart w:id="387" w:name="_Toc170700414"/>
      <w:bookmarkStart w:id="388" w:name="_Toc170705921"/>
      <w:bookmarkStart w:id="389" w:name="_Toc170707325"/>
      <w:bookmarkStart w:id="390" w:name="_Toc170700415"/>
      <w:bookmarkStart w:id="391" w:name="_Toc170705922"/>
      <w:bookmarkStart w:id="392" w:name="_Toc170707326"/>
      <w:bookmarkStart w:id="393" w:name="_Toc161048076"/>
      <w:bookmarkStart w:id="394" w:name="_Toc177825043"/>
      <w:bookmarkStart w:id="395" w:name="_Toc241657516"/>
      <w:bookmarkStart w:id="396" w:name="_Toc228260737"/>
      <w:bookmarkStart w:id="397" w:name="_Toc436923892"/>
      <w:bookmarkEnd w:id="387"/>
      <w:bookmarkEnd w:id="388"/>
      <w:bookmarkEnd w:id="389"/>
      <w:bookmarkEnd w:id="390"/>
      <w:bookmarkEnd w:id="391"/>
      <w:bookmarkEnd w:id="392"/>
      <w:r w:rsidRPr="00D40DC4">
        <w:t>Többszempontú értékelés</w:t>
      </w:r>
      <w:bookmarkEnd w:id="393"/>
      <w:bookmarkEnd w:id="394"/>
      <w:bookmarkEnd w:id="395"/>
      <w:bookmarkEnd w:id="396"/>
      <w:bookmarkEnd w:id="397"/>
    </w:p>
    <w:p w:rsidR="003A5E6D" w:rsidRPr="00D40DC4" w:rsidRDefault="003A5E6D" w:rsidP="00221929">
      <w:pPr>
        <w:rPr>
          <w:rFonts w:cs="Arial"/>
        </w:rPr>
      </w:pPr>
      <w:r w:rsidRPr="00D40DC4">
        <w:rPr>
          <w:rFonts w:cs="Arial"/>
        </w:rPr>
        <w:t xml:space="preserve">A többszempontú értékelés (MCA – multi-criteria analysis) az értékelési eljárások egy csoportja, ahol a kiválasztás szempontja nem egy, hanem több, számszakilag össze nem adható kritérium (pl. költségek, intézményi megfelelőség, környezetvédelmi megfontolások, esélyegyenlőség stb.) együttes értékelésével történik. </w:t>
      </w:r>
      <w:r w:rsidR="002A098D" w:rsidRPr="00D40DC4">
        <w:rPr>
          <w:rFonts w:cs="Arial"/>
        </w:rPr>
        <w:t>Az értékelési módszertan segítségével összehasonlíthatóvá válnak olyan projektváltozatok, melyek között az eltérés főleg nem műszaki, hanem jogi, finanszírozási stb. téren jelentkezik.</w:t>
      </w:r>
    </w:p>
    <w:p w:rsidR="002A098D" w:rsidRPr="00D40DC4" w:rsidRDefault="002A098D" w:rsidP="00221929">
      <w:pPr>
        <w:rPr>
          <w:rFonts w:cs="Arial"/>
        </w:rPr>
      </w:pPr>
      <w:r w:rsidRPr="00D40DC4">
        <w:rPr>
          <w:rFonts w:cs="Arial"/>
        </w:rPr>
        <w:t>Lehetőség van szerepeltetni a jogi/finanszírozási szempontok mellett a hagyományos CBA-ban szereplő hatásokat/költségeket is – ekkor ezeket a pénzben kifejezett/kifejezhető értékeket konvertálni kell az adott MCA módszertanba illeszkedő pontszámmá (pl. normálni 1-10-ig terjedő skálára). Módszertanilag helyes az a megközelítés is, ha a projekt monetarizálható részeit (pl. közgazdasági költségek és hatások) CBA-val értékelik, majd a közgazdasági teljesítménymutatót (ENPV, BCR) megfelelően konvertálva a CBA eredménye az értékelés egyik szempontjává válik.</w:t>
      </w:r>
    </w:p>
    <w:p w:rsidR="002A098D" w:rsidRPr="00D40DC4" w:rsidRDefault="002A098D" w:rsidP="00221929">
      <w:pPr>
        <w:rPr>
          <w:rFonts w:cs="Arial"/>
        </w:rPr>
      </w:pPr>
      <w:r w:rsidRPr="00D40DC4">
        <w:rPr>
          <w:rFonts w:cs="Arial"/>
        </w:rPr>
        <w:t>A szempontokhoz rendelt súlyok meghatározása minden esetben egyedi, sz</w:t>
      </w:r>
      <w:r w:rsidR="00574470" w:rsidRPr="00D40DC4">
        <w:rPr>
          <w:rFonts w:cs="Arial"/>
        </w:rPr>
        <w:t>akértői becslésen kell alapulnia</w:t>
      </w:r>
      <w:r w:rsidRPr="00D40DC4">
        <w:rPr>
          <w:rFonts w:cs="Arial"/>
        </w:rPr>
        <w:t>. Adott esetben javasolt lehet a súlyokra elvégzett érzékenységvizsgálat elvégzése is.</w:t>
      </w:r>
    </w:p>
    <w:p w:rsidR="00322396" w:rsidRPr="00D40DC4" w:rsidRDefault="00322396" w:rsidP="005A76C2">
      <w:pPr>
        <w:pStyle w:val="Cmsor4"/>
      </w:pPr>
      <w:bookmarkStart w:id="398" w:name="_Toc240166546"/>
      <w:bookmarkStart w:id="399" w:name="_Toc240166768"/>
      <w:bookmarkStart w:id="400" w:name="_Toc240166990"/>
      <w:bookmarkStart w:id="401" w:name="_Toc240167207"/>
      <w:bookmarkStart w:id="402" w:name="_Toc240167424"/>
      <w:bookmarkStart w:id="403" w:name="_Toc240177829"/>
      <w:bookmarkStart w:id="404" w:name="_Toc240178024"/>
      <w:bookmarkStart w:id="405" w:name="_Toc240227213"/>
      <w:bookmarkStart w:id="406" w:name="_Toc240227440"/>
      <w:bookmarkStart w:id="407" w:name="_Toc240227661"/>
      <w:bookmarkStart w:id="408" w:name="_Toc240231883"/>
      <w:bookmarkStart w:id="409" w:name="_Toc177825044"/>
      <w:bookmarkStart w:id="410" w:name="_Toc241657517"/>
      <w:bookmarkStart w:id="411" w:name="_Toc228260738"/>
      <w:bookmarkStart w:id="412" w:name="_Toc162861748"/>
      <w:bookmarkEnd w:id="398"/>
      <w:bookmarkEnd w:id="399"/>
      <w:bookmarkEnd w:id="400"/>
      <w:bookmarkEnd w:id="401"/>
      <w:bookmarkEnd w:id="402"/>
      <w:bookmarkEnd w:id="403"/>
      <w:bookmarkEnd w:id="404"/>
      <w:bookmarkEnd w:id="405"/>
      <w:bookmarkEnd w:id="406"/>
      <w:bookmarkEnd w:id="407"/>
      <w:bookmarkEnd w:id="408"/>
      <w:r w:rsidRPr="00D40DC4">
        <w:t>A változatok költségeinek és hatásainak becslése</w:t>
      </w:r>
      <w:bookmarkEnd w:id="409"/>
      <w:bookmarkEnd w:id="410"/>
      <w:bookmarkEnd w:id="411"/>
    </w:p>
    <w:bookmarkEnd w:id="412"/>
    <w:p w:rsidR="00322396" w:rsidRPr="00D40DC4" w:rsidRDefault="00322396" w:rsidP="00A518DD">
      <w:pPr>
        <w:pStyle w:val="Cmsor5"/>
        <w:rPr>
          <w:rFonts w:cs="Arial"/>
        </w:rPr>
      </w:pPr>
      <w:r w:rsidRPr="00D40DC4">
        <w:rPr>
          <w:rFonts w:cs="Arial"/>
        </w:rPr>
        <w:t>Költségek becslése</w:t>
      </w:r>
    </w:p>
    <w:p w:rsidR="00322396" w:rsidRPr="00D40DC4" w:rsidRDefault="00322396" w:rsidP="00221929">
      <w:pPr>
        <w:rPr>
          <w:rFonts w:cs="Arial"/>
        </w:rPr>
      </w:pPr>
      <w:r w:rsidRPr="00D40DC4">
        <w:rPr>
          <w:rFonts w:cs="Arial"/>
        </w:rPr>
        <w:t>A teljes költséget és éves költséget is lehet használni a költség-hatékonyság elemzésnél leírtak szerint.</w:t>
      </w:r>
    </w:p>
    <w:p w:rsidR="00322396" w:rsidRPr="00D40DC4" w:rsidRDefault="00322396" w:rsidP="00A518DD">
      <w:pPr>
        <w:pStyle w:val="Cmsor5"/>
        <w:rPr>
          <w:rFonts w:cs="Arial"/>
        </w:rPr>
      </w:pPr>
      <w:r w:rsidRPr="00D40DC4">
        <w:rPr>
          <w:rFonts w:cs="Arial"/>
        </w:rPr>
        <w:t>Hatások becslése</w:t>
      </w:r>
    </w:p>
    <w:p w:rsidR="00322396" w:rsidRPr="00D40DC4" w:rsidRDefault="00322396" w:rsidP="00221929">
      <w:pPr>
        <w:rPr>
          <w:rFonts w:cs="Arial"/>
        </w:rPr>
      </w:pPr>
      <w:r w:rsidRPr="00D40DC4">
        <w:rPr>
          <w:rFonts w:cs="Arial"/>
        </w:rPr>
        <w:t xml:space="preserve">A </w:t>
      </w:r>
      <w:r w:rsidRPr="00D40DC4">
        <w:rPr>
          <w:rFonts w:cs="Arial"/>
          <w:b/>
        </w:rPr>
        <w:t>hatások részletes becslése</w:t>
      </w:r>
      <w:r w:rsidR="006B1526" w:rsidRPr="00D40DC4">
        <w:rPr>
          <w:rFonts w:cs="Arial"/>
          <w:b/>
        </w:rPr>
        <w:t xml:space="preserve"> </w:t>
      </w:r>
      <w:r w:rsidR="006B1526" w:rsidRPr="00D40DC4">
        <w:rPr>
          <w:rFonts w:cs="Arial"/>
        </w:rPr>
        <w:t>valamennyi esetben a projektre szabottan, annak sajátosságai alapján kell történjen. Jó gyakorlatnak tekinthető a projekt potenciális hatásainak felmérésére végzett szakértői brainstorming. Példaszerűen, néhány jellemző hatástípus illetve azok értékelése:</w:t>
      </w:r>
    </w:p>
    <w:p w:rsidR="006B1526" w:rsidRPr="00D40DC4" w:rsidRDefault="00322396" w:rsidP="006C5A6D">
      <w:pPr>
        <w:numPr>
          <w:ilvl w:val="0"/>
          <w:numId w:val="21"/>
        </w:numPr>
      </w:pPr>
      <w:r w:rsidRPr="00D40DC4">
        <w:t>környezeti hatások</w:t>
      </w:r>
      <w:r w:rsidR="006B1526" w:rsidRPr="00D40DC4">
        <w:t xml:space="preserve"> </w:t>
      </w:r>
    </w:p>
    <w:p w:rsidR="006B1526" w:rsidRPr="00D40DC4" w:rsidRDefault="006B1526" w:rsidP="006C5A6D">
      <w:pPr>
        <w:numPr>
          <w:ilvl w:val="1"/>
          <w:numId w:val="21"/>
        </w:numPr>
      </w:pPr>
      <w:r w:rsidRPr="00D40DC4">
        <w:t>légszennyezési hatások,</w:t>
      </w:r>
    </w:p>
    <w:p w:rsidR="006B1526" w:rsidRPr="00D40DC4" w:rsidRDefault="006B1526" w:rsidP="006C5A6D">
      <w:pPr>
        <w:numPr>
          <w:ilvl w:val="1"/>
          <w:numId w:val="21"/>
        </w:numPr>
      </w:pPr>
      <w:r w:rsidRPr="00D40DC4">
        <w:t>klímaváltozásra gyakorolt hatás,</w:t>
      </w:r>
    </w:p>
    <w:p w:rsidR="00322396" w:rsidRPr="00D40DC4" w:rsidRDefault="006B1526" w:rsidP="006C5A6D">
      <w:pPr>
        <w:numPr>
          <w:ilvl w:val="1"/>
          <w:numId w:val="21"/>
        </w:numPr>
      </w:pPr>
      <w:r w:rsidRPr="00D40DC4">
        <w:t>természetvédelmi területek érintettsége</w:t>
      </w:r>
    </w:p>
    <w:p w:rsidR="006B1526" w:rsidRPr="00D40DC4" w:rsidRDefault="00322396" w:rsidP="006C5A6D">
      <w:pPr>
        <w:numPr>
          <w:ilvl w:val="0"/>
          <w:numId w:val="21"/>
        </w:numPr>
      </w:pPr>
      <w:r w:rsidRPr="00D40DC4">
        <w:t>gazdasági életképessé</w:t>
      </w:r>
      <w:r w:rsidR="006B1526" w:rsidRPr="00D40DC4">
        <w:t>g</w:t>
      </w:r>
    </w:p>
    <w:p w:rsidR="006B1526" w:rsidRPr="00D40DC4" w:rsidRDefault="006B1526" w:rsidP="006C5A6D">
      <w:pPr>
        <w:numPr>
          <w:ilvl w:val="1"/>
          <w:numId w:val="21"/>
        </w:numPr>
      </w:pPr>
      <w:r w:rsidRPr="00D40DC4">
        <w:lastRenderedPageBreak/>
        <w:t>beruházási költség</w:t>
      </w:r>
    </w:p>
    <w:p w:rsidR="006B1526" w:rsidRPr="00D40DC4" w:rsidRDefault="00322396" w:rsidP="006C5A6D">
      <w:pPr>
        <w:numPr>
          <w:ilvl w:val="1"/>
          <w:numId w:val="21"/>
        </w:numPr>
      </w:pPr>
      <w:r w:rsidRPr="00D40DC4">
        <w:t>az önerő igény,</w:t>
      </w:r>
    </w:p>
    <w:p w:rsidR="006B1526" w:rsidRPr="00D40DC4" w:rsidRDefault="00322396" w:rsidP="006C5A6D">
      <w:pPr>
        <w:numPr>
          <w:ilvl w:val="1"/>
          <w:numId w:val="21"/>
        </w:numPr>
      </w:pPr>
      <w:r w:rsidRPr="00D40DC4">
        <w:t>egy használóra jutó díjak</w:t>
      </w:r>
      <w:r w:rsidR="006B1526" w:rsidRPr="00D40DC4">
        <w:t>,</w:t>
      </w:r>
    </w:p>
    <w:p w:rsidR="00322396" w:rsidRPr="00D40DC4" w:rsidRDefault="006B1526" w:rsidP="006C5A6D">
      <w:pPr>
        <w:numPr>
          <w:ilvl w:val="1"/>
          <w:numId w:val="21"/>
        </w:numPr>
      </w:pPr>
      <w:r w:rsidRPr="00D40DC4">
        <w:t>bevételtermelő képesség</w:t>
      </w:r>
    </w:p>
    <w:p w:rsidR="00322396" w:rsidRPr="00D40DC4" w:rsidRDefault="00322396" w:rsidP="006C5A6D">
      <w:pPr>
        <w:numPr>
          <w:ilvl w:val="0"/>
          <w:numId w:val="21"/>
        </w:numPr>
      </w:pPr>
      <w:r w:rsidRPr="00D40DC4">
        <w:t>intézményi és működtetési kockázatok</w:t>
      </w:r>
    </w:p>
    <w:p w:rsidR="006B1526" w:rsidRPr="00D40DC4" w:rsidRDefault="006B1526" w:rsidP="006C5A6D">
      <w:pPr>
        <w:numPr>
          <w:ilvl w:val="1"/>
          <w:numId w:val="21"/>
        </w:numPr>
      </w:pPr>
      <w:r w:rsidRPr="00D40DC4">
        <w:t>engedélyek rendelkezésre állása és/vagy azok beszerzésének nehézsége</w:t>
      </w:r>
    </w:p>
    <w:p w:rsidR="006B1526" w:rsidRPr="00D40DC4" w:rsidRDefault="006B1526" w:rsidP="006C5A6D">
      <w:pPr>
        <w:numPr>
          <w:ilvl w:val="1"/>
          <w:numId w:val="21"/>
        </w:numPr>
      </w:pPr>
      <w:r w:rsidRPr="00D40DC4">
        <w:t>szükséges szakemberek száma</w:t>
      </w:r>
    </w:p>
    <w:p w:rsidR="006B1526" w:rsidRPr="00D40DC4" w:rsidRDefault="006B1526" w:rsidP="006C5A6D">
      <w:pPr>
        <w:numPr>
          <w:ilvl w:val="1"/>
          <w:numId w:val="21"/>
        </w:numPr>
      </w:pPr>
      <w:r w:rsidRPr="00D40DC4">
        <w:t>társadalmi ellenállás</w:t>
      </w:r>
    </w:p>
    <w:p w:rsidR="00322396" w:rsidRPr="00D40DC4" w:rsidRDefault="00322396" w:rsidP="006C5A6D">
      <w:pPr>
        <w:numPr>
          <w:ilvl w:val="0"/>
          <w:numId w:val="21"/>
        </w:numPr>
      </w:pPr>
      <w:r w:rsidRPr="00D40DC4">
        <w:t>fenntarthatósági, finanszírozhatósági szempontok</w:t>
      </w:r>
    </w:p>
    <w:p w:rsidR="006B1526" w:rsidRPr="00D40DC4" w:rsidRDefault="006B1526" w:rsidP="006C5A6D">
      <w:pPr>
        <w:numPr>
          <w:ilvl w:val="1"/>
          <w:numId w:val="21"/>
        </w:numPr>
      </w:pPr>
      <w:r w:rsidRPr="00D40DC4">
        <w:t>finanszírozás megfelelősége</w:t>
      </w:r>
    </w:p>
    <w:p w:rsidR="006B1526" w:rsidRPr="00D40DC4" w:rsidRDefault="006B1526" w:rsidP="006C5A6D">
      <w:pPr>
        <w:numPr>
          <w:ilvl w:val="1"/>
          <w:numId w:val="21"/>
        </w:numPr>
      </w:pPr>
      <w:r w:rsidRPr="00D40DC4">
        <w:t>rendkívüli időjárásnak, klímaváltozásnak való ellenálló képesség</w:t>
      </w:r>
    </w:p>
    <w:p w:rsidR="006B1526" w:rsidRPr="00D40DC4" w:rsidRDefault="006B1526" w:rsidP="006C5A6D">
      <w:pPr>
        <w:numPr>
          <w:ilvl w:val="0"/>
          <w:numId w:val="21"/>
        </w:numPr>
      </w:pPr>
      <w:r w:rsidRPr="00D40DC4">
        <w:t>stb.</w:t>
      </w:r>
    </w:p>
    <w:p w:rsidR="007802D8" w:rsidRPr="00D40DC4" w:rsidRDefault="007802D8" w:rsidP="00971400">
      <w:pPr>
        <w:rPr>
          <w:rFonts w:cs="Arial"/>
        </w:rPr>
      </w:pPr>
    </w:p>
    <w:p w:rsidR="007802D8" w:rsidRPr="00D40DC4" w:rsidRDefault="007802D8"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413" w:name="_Toc436923937"/>
      <w:r w:rsidR="007B4938" w:rsidRPr="00D40DC4">
        <w:rPr>
          <w:noProof/>
        </w:rPr>
        <w:t>4</w:t>
      </w:r>
      <w:r w:rsidRPr="00D40DC4">
        <w:rPr>
          <w:noProof/>
        </w:rPr>
        <w:fldChar w:fldCharType="end"/>
      </w:r>
      <w:r w:rsidRPr="00D40DC4">
        <w:rPr>
          <w:noProof/>
        </w:rPr>
        <w:t>. táblázat: Többszempontú értékelés eredményeinek bemutatására vonatkozó példa</w:t>
      </w:r>
      <w:bookmarkEnd w:id="413"/>
      <w:r w:rsidRPr="00D40DC4">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7"/>
        <w:gridCol w:w="1492"/>
        <w:gridCol w:w="797"/>
        <w:gridCol w:w="992"/>
      </w:tblGrid>
      <w:tr w:rsidR="007802D8" w:rsidRPr="00D40DC4" w:rsidTr="007802D8">
        <w:trPr>
          <w:tblHeader/>
        </w:trPr>
        <w:tc>
          <w:tcPr>
            <w:tcW w:w="3234" w:type="pct"/>
            <w:shd w:val="clear" w:color="auto" w:fill="99CCFF"/>
          </w:tcPr>
          <w:p w:rsidR="007802D8" w:rsidRPr="00D40DC4" w:rsidRDefault="007802D8" w:rsidP="002F7671">
            <w:pPr>
              <w:spacing w:after="0"/>
              <w:jc w:val="center"/>
              <w:rPr>
                <w:rFonts w:cs="Arial"/>
                <w:b/>
                <w:szCs w:val="20"/>
              </w:rPr>
            </w:pPr>
          </w:p>
        </w:tc>
        <w:tc>
          <w:tcPr>
            <w:tcW w:w="803" w:type="pct"/>
            <w:shd w:val="clear" w:color="auto" w:fill="99CCFF"/>
          </w:tcPr>
          <w:p w:rsidR="007802D8" w:rsidRPr="00D40DC4" w:rsidRDefault="007802D8" w:rsidP="002F7671">
            <w:pPr>
              <w:spacing w:after="0"/>
              <w:jc w:val="center"/>
              <w:rPr>
                <w:rFonts w:cs="Arial"/>
                <w:b/>
                <w:szCs w:val="20"/>
              </w:rPr>
            </w:pPr>
            <w:r w:rsidRPr="00D40DC4">
              <w:rPr>
                <w:rFonts w:cs="Arial"/>
                <w:b/>
                <w:szCs w:val="20"/>
              </w:rPr>
              <w:t>Pontszám</w:t>
            </w:r>
          </w:p>
        </w:tc>
        <w:tc>
          <w:tcPr>
            <w:tcW w:w="429" w:type="pct"/>
            <w:shd w:val="clear" w:color="auto" w:fill="99CCFF"/>
          </w:tcPr>
          <w:p w:rsidR="007802D8" w:rsidRPr="00D40DC4" w:rsidRDefault="007802D8" w:rsidP="002F7671">
            <w:pPr>
              <w:spacing w:after="0"/>
              <w:jc w:val="center"/>
              <w:rPr>
                <w:rFonts w:cs="Arial"/>
                <w:b/>
                <w:szCs w:val="20"/>
              </w:rPr>
            </w:pPr>
            <w:r w:rsidRPr="00D40DC4">
              <w:rPr>
                <w:rFonts w:cs="Arial"/>
                <w:b/>
                <w:szCs w:val="20"/>
              </w:rPr>
              <w:t>Súly</w:t>
            </w:r>
          </w:p>
        </w:tc>
        <w:tc>
          <w:tcPr>
            <w:tcW w:w="534" w:type="pct"/>
            <w:shd w:val="clear" w:color="auto" w:fill="99CCFF"/>
          </w:tcPr>
          <w:p w:rsidR="007802D8" w:rsidRPr="00D40DC4" w:rsidRDefault="007802D8" w:rsidP="002F7671">
            <w:pPr>
              <w:spacing w:after="0"/>
              <w:jc w:val="center"/>
              <w:rPr>
                <w:rFonts w:cs="Arial"/>
                <w:b/>
                <w:szCs w:val="20"/>
              </w:rPr>
            </w:pPr>
            <w:r w:rsidRPr="00D40DC4">
              <w:rPr>
                <w:rFonts w:cs="Arial"/>
                <w:b/>
                <w:szCs w:val="20"/>
              </w:rPr>
              <w:t>Hatás</w:t>
            </w:r>
          </w:p>
        </w:tc>
      </w:tr>
      <w:tr w:rsidR="007802D8" w:rsidRPr="00D40DC4" w:rsidTr="007802D8">
        <w:tc>
          <w:tcPr>
            <w:tcW w:w="3234" w:type="pct"/>
            <w:shd w:val="clear" w:color="auto" w:fill="DEEAF6" w:themeFill="accent1" w:themeFillTint="33"/>
          </w:tcPr>
          <w:p w:rsidR="007802D8" w:rsidRPr="00D40DC4" w:rsidRDefault="007802D8" w:rsidP="002F7671">
            <w:pPr>
              <w:spacing w:after="0"/>
              <w:rPr>
                <w:rFonts w:cs="Arial"/>
                <w:szCs w:val="20"/>
              </w:rPr>
            </w:pPr>
            <w:r w:rsidRPr="00D40DC4">
              <w:rPr>
                <w:rFonts w:cs="Arial"/>
                <w:szCs w:val="20"/>
              </w:rPr>
              <w:t xml:space="preserve">„A” projekt </w:t>
            </w:r>
          </w:p>
        </w:tc>
        <w:tc>
          <w:tcPr>
            <w:tcW w:w="803" w:type="pct"/>
            <w:shd w:val="clear" w:color="auto" w:fill="DEEAF6" w:themeFill="accent1" w:themeFillTint="33"/>
          </w:tcPr>
          <w:p w:rsidR="007802D8" w:rsidRPr="00D40DC4" w:rsidRDefault="007802D8" w:rsidP="002F7671">
            <w:pPr>
              <w:spacing w:after="0"/>
              <w:rPr>
                <w:rFonts w:cs="Arial"/>
                <w:szCs w:val="20"/>
              </w:rPr>
            </w:pPr>
          </w:p>
        </w:tc>
        <w:tc>
          <w:tcPr>
            <w:tcW w:w="429" w:type="pct"/>
            <w:shd w:val="clear" w:color="auto" w:fill="DEEAF6" w:themeFill="accent1" w:themeFillTint="33"/>
          </w:tcPr>
          <w:p w:rsidR="007802D8" w:rsidRPr="00D40DC4" w:rsidRDefault="007802D8" w:rsidP="002F7671">
            <w:pPr>
              <w:spacing w:after="0"/>
              <w:rPr>
                <w:rFonts w:cs="Arial"/>
                <w:szCs w:val="20"/>
              </w:rPr>
            </w:pPr>
          </w:p>
        </w:tc>
        <w:tc>
          <w:tcPr>
            <w:tcW w:w="534" w:type="pct"/>
            <w:shd w:val="clear" w:color="auto" w:fill="DEEAF6" w:themeFill="accent1" w:themeFillTint="33"/>
          </w:tcPr>
          <w:p w:rsidR="007802D8" w:rsidRPr="00D40DC4" w:rsidRDefault="007802D8" w:rsidP="002F7671">
            <w:pPr>
              <w:spacing w:after="0"/>
              <w:rPr>
                <w:rFonts w:cs="Arial"/>
                <w:szCs w:val="20"/>
              </w:rPr>
            </w:pPr>
          </w:p>
        </w:tc>
      </w:tr>
      <w:tr w:rsidR="007802D8" w:rsidRPr="00D40DC4" w:rsidTr="00971400">
        <w:trPr>
          <w:trHeight w:val="255"/>
        </w:trPr>
        <w:tc>
          <w:tcPr>
            <w:tcW w:w="3234" w:type="pct"/>
            <w:vAlign w:val="bottom"/>
          </w:tcPr>
          <w:p w:rsidR="007802D8" w:rsidRPr="00D40DC4" w:rsidRDefault="007802D8" w:rsidP="007802D8">
            <w:pPr>
              <w:spacing w:after="0"/>
              <w:rPr>
                <w:rFonts w:cs="Arial"/>
                <w:szCs w:val="20"/>
              </w:rPr>
            </w:pPr>
            <w:r w:rsidRPr="00D40DC4">
              <w:rPr>
                <w:rFonts w:cs="Arial"/>
                <w:color w:val="000000"/>
              </w:rPr>
              <w:t>szempont 1</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rPr>
          <w:trHeight w:val="255"/>
        </w:trPr>
        <w:tc>
          <w:tcPr>
            <w:tcW w:w="3234" w:type="pct"/>
            <w:vAlign w:val="bottom"/>
          </w:tcPr>
          <w:p w:rsidR="007802D8" w:rsidRPr="00D40DC4" w:rsidRDefault="007802D8" w:rsidP="007802D8">
            <w:pPr>
              <w:spacing w:after="0"/>
              <w:rPr>
                <w:rFonts w:cs="Arial"/>
                <w:szCs w:val="20"/>
              </w:rPr>
            </w:pPr>
            <w:r w:rsidRPr="00D40DC4">
              <w:rPr>
                <w:rFonts w:cs="Arial"/>
                <w:color w:val="000000"/>
              </w:rPr>
              <w:t>szempont 2</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rPr>
          <w:trHeight w:val="255"/>
        </w:trPr>
        <w:tc>
          <w:tcPr>
            <w:tcW w:w="3234" w:type="pct"/>
            <w:vAlign w:val="bottom"/>
          </w:tcPr>
          <w:p w:rsidR="007802D8" w:rsidRPr="00D40DC4" w:rsidRDefault="007802D8" w:rsidP="007802D8">
            <w:pPr>
              <w:spacing w:after="0"/>
              <w:rPr>
                <w:rFonts w:cs="Arial"/>
                <w:szCs w:val="20"/>
              </w:rPr>
            </w:pPr>
            <w:r w:rsidRPr="00D40DC4">
              <w:rPr>
                <w:rFonts w:cs="Arial"/>
                <w:color w:val="000000"/>
              </w:rPr>
              <w:t>szempont 3</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rPr>
          <w:trHeight w:val="255"/>
        </w:trPr>
        <w:tc>
          <w:tcPr>
            <w:tcW w:w="3234" w:type="pct"/>
            <w:vAlign w:val="bottom"/>
          </w:tcPr>
          <w:p w:rsidR="007802D8" w:rsidRPr="00D40DC4" w:rsidRDefault="007802D8" w:rsidP="007802D8">
            <w:pPr>
              <w:spacing w:after="0"/>
              <w:rPr>
                <w:rFonts w:cs="Arial"/>
                <w:szCs w:val="20"/>
              </w:rPr>
            </w:pPr>
            <w:r w:rsidRPr="00D40DC4">
              <w:rPr>
                <w:rFonts w:cs="Arial"/>
                <w:color w:val="000000"/>
              </w:rPr>
              <w:t>szempont 4</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2F7671">
        <w:tc>
          <w:tcPr>
            <w:tcW w:w="3234" w:type="pct"/>
          </w:tcPr>
          <w:p w:rsidR="007802D8" w:rsidRPr="00D40DC4" w:rsidRDefault="007802D8" w:rsidP="002F7671">
            <w:pPr>
              <w:spacing w:after="0"/>
              <w:rPr>
                <w:rFonts w:cs="Arial"/>
                <w:b/>
                <w:szCs w:val="20"/>
              </w:rPr>
            </w:pPr>
            <w:r w:rsidRPr="00D40DC4">
              <w:rPr>
                <w:rFonts w:cs="Arial"/>
                <w:b/>
                <w:szCs w:val="20"/>
              </w:rPr>
              <w:t>Összesen</w:t>
            </w:r>
          </w:p>
        </w:tc>
        <w:tc>
          <w:tcPr>
            <w:tcW w:w="1766" w:type="pct"/>
            <w:gridSpan w:val="3"/>
          </w:tcPr>
          <w:p w:rsidR="007802D8" w:rsidRPr="00D40DC4" w:rsidRDefault="007802D8" w:rsidP="002F7671">
            <w:pPr>
              <w:spacing w:after="0"/>
              <w:rPr>
                <w:rFonts w:cs="Arial"/>
                <w:b/>
                <w:szCs w:val="20"/>
              </w:rPr>
            </w:pPr>
          </w:p>
        </w:tc>
      </w:tr>
      <w:tr w:rsidR="007802D8" w:rsidRPr="00D40DC4" w:rsidTr="007802D8">
        <w:tc>
          <w:tcPr>
            <w:tcW w:w="3234" w:type="pct"/>
            <w:shd w:val="clear" w:color="auto" w:fill="DEEAF6" w:themeFill="accent1" w:themeFillTint="33"/>
          </w:tcPr>
          <w:p w:rsidR="007802D8" w:rsidRPr="00D40DC4" w:rsidRDefault="007802D8" w:rsidP="002F7671">
            <w:pPr>
              <w:spacing w:after="0"/>
              <w:rPr>
                <w:rFonts w:cs="Arial"/>
                <w:szCs w:val="20"/>
              </w:rPr>
            </w:pPr>
            <w:r w:rsidRPr="00D40DC4">
              <w:rPr>
                <w:rFonts w:cs="Arial"/>
                <w:szCs w:val="20"/>
              </w:rPr>
              <w:t>„B” projekt</w:t>
            </w:r>
          </w:p>
        </w:tc>
        <w:tc>
          <w:tcPr>
            <w:tcW w:w="803" w:type="pct"/>
            <w:shd w:val="clear" w:color="auto" w:fill="DEEAF6" w:themeFill="accent1" w:themeFillTint="33"/>
          </w:tcPr>
          <w:p w:rsidR="007802D8" w:rsidRPr="00D40DC4" w:rsidRDefault="007802D8" w:rsidP="002F7671">
            <w:pPr>
              <w:spacing w:after="0"/>
              <w:rPr>
                <w:rFonts w:cs="Arial"/>
                <w:szCs w:val="20"/>
              </w:rPr>
            </w:pPr>
          </w:p>
        </w:tc>
        <w:tc>
          <w:tcPr>
            <w:tcW w:w="429" w:type="pct"/>
            <w:shd w:val="clear" w:color="auto" w:fill="DEEAF6" w:themeFill="accent1" w:themeFillTint="33"/>
          </w:tcPr>
          <w:p w:rsidR="007802D8" w:rsidRPr="00D40DC4" w:rsidRDefault="007802D8" w:rsidP="002F7671">
            <w:pPr>
              <w:spacing w:after="0"/>
              <w:rPr>
                <w:rFonts w:cs="Arial"/>
                <w:szCs w:val="20"/>
              </w:rPr>
            </w:pPr>
          </w:p>
        </w:tc>
        <w:tc>
          <w:tcPr>
            <w:tcW w:w="534" w:type="pct"/>
            <w:shd w:val="clear" w:color="auto" w:fill="DEEAF6" w:themeFill="accent1" w:themeFillTint="33"/>
          </w:tcPr>
          <w:p w:rsidR="007802D8" w:rsidRPr="00D40DC4" w:rsidRDefault="007802D8" w:rsidP="002F7671">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1</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2</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3</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4</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2F7671">
        <w:tc>
          <w:tcPr>
            <w:tcW w:w="3234" w:type="pct"/>
          </w:tcPr>
          <w:p w:rsidR="007802D8" w:rsidRPr="00D40DC4" w:rsidRDefault="007802D8" w:rsidP="002F7671">
            <w:pPr>
              <w:spacing w:after="0"/>
              <w:rPr>
                <w:rFonts w:cs="Arial"/>
                <w:b/>
                <w:szCs w:val="20"/>
              </w:rPr>
            </w:pPr>
            <w:r w:rsidRPr="00D40DC4">
              <w:rPr>
                <w:rFonts w:cs="Arial"/>
                <w:b/>
                <w:szCs w:val="20"/>
              </w:rPr>
              <w:t>Összesen</w:t>
            </w:r>
          </w:p>
        </w:tc>
        <w:tc>
          <w:tcPr>
            <w:tcW w:w="1766" w:type="pct"/>
            <w:gridSpan w:val="3"/>
          </w:tcPr>
          <w:p w:rsidR="007802D8" w:rsidRPr="00D40DC4" w:rsidRDefault="007802D8" w:rsidP="002F7671">
            <w:pPr>
              <w:spacing w:after="0"/>
              <w:rPr>
                <w:rFonts w:cs="Arial"/>
                <w:b/>
                <w:szCs w:val="20"/>
              </w:rPr>
            </w:pPr>
          </w:p>
        </w:tc>
      </w:tr>
      <w:tr w:rsidR="007802D8" w:rsidRPr="00D40DC4" w:rsidTr="007802D8">
        <w:tc>
          <w:tcPr>
            <w:tcW w:w="3234" w:type="pct"/>
            <w:shd w:val="clear" w:color="auto" w:fill="DEEAF6" w:themeFill="accent1" w:themeFillTint="33"/>
          </w:tcPr>
          <w:p w:rsidR="007802D8" w:rsidRPr="00D40DC4" w:rsidRDefault="007802D8" w:rsidP="002F7671">
            <w:pPr>
              <w:spacing w:after="0"/>
              <w:rPr>
                <w:rFonts w:cs="Arial"/>
                <w:szCs w:val="20"/>
              </w:rPr>
            </w:pPr>
            <w:r w:rsidRPr="00D40DC4">
              <w:rPr>
                <w:rFonts w:cs="Arial"/>
                <w:szCs w:val="20"/>
              </w:rPr>
              <w:t>„C” projekt</w:t>
            </w:r>
          </w:p>
        </w:tc>
        <w:tc>
          <w:tcPr>
            <w:tcW w:w="803" w:type="pct"/>
            <w:shd w:val="clear" w:color="auto" w:fill="DEEAF6" w:themeFill="accent1" w:themeFillTint="33"/>
          </w:tcPr>
          <w:p w:rsidR="007802D8" w:rsidRPr="00D40DC4" w:rsidRDefault="007802D8" w:rsidP="002F7671">
            <w:pPr>
              <w:spacing w:after="0"/>
              <w:rPr>
                <w:rFonts w:cs="Arial"/>
                <w:szCs w:val="20"/>
              </w:rPr>
            </w:pPr>
          </w:p>
        </w:tc>
        <w:tc>
          <w:tcPr>
            <w:tcW w:w="429" w:type="pct"/>
            <w:shd w:val="clear" w:color="auto" w:fill="DEEAF6" w:themeFill="accent1" w:themeFillTint="33"/>
          </w:tcPr>
          <w:p w:rsidR="007802D8" w:rsidRPr="00D40DC4" w:rsidRDefault="007802D8" w:rsidP="002F7671">
            <w:pPr>
              <w:spacing w:after="0"/>
              <w:rPr>
                <w:rFonts w:cs="Arial"/>
                <w:szCs w:val="20"/>
              </w:rPr>
            </w:pPr>
          </w:p>
        </w:tc>
        <w:tc>
          <w:tcPr>
            <w:tcW w:w="534" w:type="pct"/>
            <w:shd w:val="clear" w:color="auto" w:fill="DEEAF6" w:themeFill="accent1" w:themeFillTint="33"/>
          </w:tcPr>
          <w:p w:rsidR="007802D8" w:rsidRPr="00D40DC4" w:rsidRDefault="007802D8" w:rsidP="002F7671">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1</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2</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3</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971400">
        <w:tc>
          <w:tcPr>
            <w:tcW w:w="3234" w:type="pct"/>
            <w:vAlign w:val="bottom"/>
          </w:tcPr>
          <w:p w:rsidR="007802D8" w:rsidRPr="00D40DC4" w:rsidRDefault="007802D8" w:rsidP="007802D8">
            <w:pPr>
              <w:spacing w:after="0"/>
              <w:rPr>
                <w:rFonts w:cs="Arial"/>
                <w:szCs w:val="20"/>
              </w:rPr>
            </w:pPr>
            <w:r w:rsidRPr="00D40DC4">
              <w:rPr>
                <w:rFonts w:cs="Arial"/>
                <w:color w:val="000000"/>
              </w:rPr>
              <w:t>szempont 4</w:t>
            </w:r>
          </w:p>
        </w:tc>
        <w:tc>
          <w:tcPr>
            <w:tcW w:w="803" w:type="pct"/>
          </w:tcPr>
          <w:p w:rsidR="007802D8" w:rsidRPr="00D40DC4" w:rsidRDefault="007802D8" w:rsidP="007802D8">
            <w:pPr>
              <w:spacing w:after="0"/>
              <w:rPr>
                <w:rFonts w:cs="Arial"/>
                <w:szCs w:val="20"/>
              </w:rPr>
            </w:pPr>
          </w:p>
        </w:tc>
        <w:tc>
          <w:tcPr>
            <w:tcW w:w="429" w:type="pct"/>
          </w:tcPr>
          <w:p w:rsidR="007802D8" w:rsidRPr="00D40DC4" w:rsidRDefault="007802D8" w:rsidP="007802D8">
            <w:pPr>
              <w:spacing w:after="0"/>
              <w:rPr>
                <w:rFonts w:cs="Arial"/>
                <w:szCs w:val="20"/>
              </w:rPr>
            </w:pPr>
          </w:p>
        </w:tc>
        <w:tc>
          <w:tcPr>
            <w:tcW w:w="534" w:type="pct"/>
          </w:tcPr>
          <w:p w:rsidR="007802D8" w:rsidRPr="00D40DC4" w:rsidRDefault="007802D8" w:rsidP="007802D8">
            <w:pPr>
              <w:spacing w:after="0"/>
              <w:rPr>
                <w:rFonts w:cs="Arial"/>
                <w:szCs w:val="20"/>
              </w:rPr>
            </w:pPr>
          </w:p>
        </w:tc>
      </w:tr>
      <w:tr w:rsidR="007802D8" w:rsidRPr="00D40DC4" w:rsidTr="002F7671">
        <w:tc>
          <w:tcPr>
            <w:tcW w:w="3234" w:type="pct"/>
          </w:tcPr>
          <w:p w:rsidR="007802D8" w:rsidRPr="00D40DC4" w:rsidRDefault="007802D8" w:rsidP="002F7671">
            <w:pPr>
              <w:spacing w:after="0"/>
              <w:rPr>
                <w:rFonts w:cs="Arial"/>
                <w:b/>
                <w:szCs w:val="20"/>
              </w:rPr>
            </w:pPr>
            <w:r w:rsidRPr="00D40DC4">
              <w:rPr>
                <w:rFonts w:cs="Arial"/>
                <w:b/>
                <w:szCs w:val="20"/>
              </w:rPr>
              <w:t>Összesen</w:t>
            </w:r>
          </w:p>
        </w:tc>
        <w:tc>
          <w:tcPr>
            <w:tcW w:w="1766" w:type="pct"/>
            <w:gridSpan w:val="3"/>
          </w:tcPr>
          <w:p w:rsidR="007802D8" w:rsidRPr="00D40DC4" w:rsidRDefault="007802D8" w:rsidP="002F7671">
            <w:pPr>
              <w:spacing w:after="0"/>
              <w:rPr>
                <w:rFonts w:cs="Arial"/>
                <w:b/>
                <w:szCs w:val="20"/>
              </w:rPr>
            </w:pPr>
          </w:p>
        </w:tc>
      </w:tr>
    </w:tbl>
    <w:p w:rsidR="00322396" w:rsidRPr="00D40DC4" w:rsidRDefault="00322396" w:rsidP="005A76C2">
      <w:pPr>
        <w:pStyle w:val="Cmsor4"/>
      </w:pPr>
      <w:bookmarkStart w:id="414" w:name="_Toc177825045"/>
      <w:bookmarkStart w:id="415" w:name="_Toc241657518"/>
      <w:bookmarkStart w:id="416" w:name="_Toc228260739"/>
      <w:bookmarkStart w:id="417" w:name="_Toc162861750"/>
      <w:r w:rsidRPr="00D40DC4">
        <w:t>A döntési változatok összehasonlítása és kiválasztása</w:t>
      </w:r>
      <w:bookmarkEnd w:id="414"/>
      <w:bookmarkEnd w:id="415"/>
      <w:bookmarkEnd w:id="416"/>
    </w:p>
    <w:bookmarkEnd w:id="417"/>
    <w:p w:rsidR="00322396" w:rsidRPr="00D40DC4" w:rsidRDefault="00322396" w:rsidP="0098147B">
      <w:pPr>
        <w:rPr>
          <w:rFonts w:cs="Arial"/>
        </w:rPr>
      </w:pPr>
      <w:r w:rsidRPr="00D40DC4">
        <w:rPr>
          <w:rFonts w:cs="Arial"/>
        </w:rPr>
        <w:t>Az összehasonlításhoz a hatások aggregálásának módszere a következő:</w:t>
      </w:r>
    </w:p>
    <w:p w:rsidR="00322396" w:rsidRPr="00D40DC4" w:rsidRDefault="00720747" w:rsidP="006C5A6D">
      <w:pPr>
        <w:numPr>
          <w:ilvl w:val="0"/>
          <w:numId w:val="21"/>
        </w:numPr>
      </w:pPr>
      <w:r w:rsidRPr="00D40DC4">
        <w:t>A</w:t>
      </w:r>
      <w:r w:rsidR="00322396" w:rsidRPr="00D40DC4">
        <w:t xml:space="preserve"> hatások éves értéke alapján pontszám adása</w:t>
      </w:r>
      <w:r w:rsidRPr="00D40DC4">
        <w:t>;</w:t>
      </w:r>
      <w:r w:rsidR="00322396" w:rsidRPr="00D40DC4">
        <w:t xml:space="preserve"> </w:t>
      </w:r>
    </w:p>
    <w:p w:rsidR="00322396" w:rsidRPr="00D40DC4" w:rsidRDefault="00322396" w:rsidP="006C5A6D">
      <w:pPr>
        <w:numPr>
          <w:ilvl w:val="0"/>
          <w:numId w:val="21"/>
        </w:numPr>
      </w:pPr>
      <w:r w:rsidRPr="00D40DC4">
        <w:t>Az egyes hatások pontszámainak egységes skálára vetítése;</w:t>
      </w:r>
    </w:p>
    <w:p w:rsidR="00322396" w:rsidRPr="00D40DC4" w:rsidRDefault="00720747" w:rsidP="006C5A6D">
      <w:pPr>
        <w:numPr>
          <w:ilvl w:val="0"/>
          <w:numId w:val="21"/>
        </w:numPr>
      </w:pPr>
      <w:r w:rsidRPr="00D40DC4">
        <w:t>A</w:t>
      </w:r>
      <w:r w:rsidR="00322396" w:rsidRPr="00D40DC4">
        <w:t>z egyes hatások egymáshoz való viszonyát súlyok fejezik ki. Az összes hatás pontszáma az egyes hatások pontértékeinek és súlyának szorzatösszege.</w:t>
      </w:r>
    </w:p>
    <w:p w:rsidR="00430296" w:rsidRPr="00D40DC4" w:rsidRDefault="00430296" w:rsidP="00221929">
      <w:pPr>
        <w:rPr>
          <w:rFonts w:cs="Arial"/>
        </w:rPr>
      </w:pPr>
      <w:r w:rsidRPr="00D40DC4">
        <w:rPr>
          <w:rFonts w:cs="Arial"/>
        </w:rPr>
        <w:t>A hatások mellett a teljes költséget (gyakran éves költség formájában) is figyelembe kell venni.</w:t>
      </w:r>
    </w:p>
    <w:p w:rsidR="00430296" w:rsidRPr="00D40DC4" w:rsidRDefault="00D45707" w:rsidP="00221929">
      <w:pPr>
        <w:rPr>
          <w:rFonts w:cs="Arial"/>
        </w:rPr>
      </w:pPr>
      <w:r w:rsidRPr="00D40DC4">
        <w:rPr>
          <w:rFonts w:cs="Arial"/>
        </w:rPr>
        <w:t>A projektváltozatok rangsora a</w:t>
      </w:r>
      <w:r w:rsidR="00267913" w:rsidRPr="00D40DC4">
        <w:rPr>
          <w:rFonts w:cs="Arial"/>
        </w:rPr>
        <w:t>ttól függően</w:t>
      </w:r>
      <w:r w:rsidRPr="00D40DC4">
        <w:rPr>
          <w:rFonts w:cs="Arial"/>
        </w:rPr>
        <w:t xml:space="preserve"> állítható fel</w:t>
      </w:r>
      <w:r w:rsidR="00267913" w:rsidRPr="00D40DC4">
        <w:rPr>
          <w:rFonts w:cs="Arial"/>
        </w:rPr>
        <w:t xml:space="preserve">, hogy </w:t>
      </w:r>
      <w:r w:rsidR="00430296" w:rsidRPr="00D40DC4">
        <w:rPr>
          <w:rFonts w:cs="Arial"/>
        </w:rPr>
        <w:t>a többszempontú értékelésben milyen mutatót képeznek:</w:t>
      </w:r>
    </w:p>
    <w:p w:rsidR="00430296" w:rsidRPr="00D40DC4" w:rsidRDefault="00430296" w:rsidP="006F2748">
      <w:pPr>
        <w:numPr>
          <w:ilvl w:val="0"/>
          <w:numId w:val="76"/>
        </w:numPr>
      </w:pPr>
      <w:r w:rsidRPr="00D40DC4">
        <w:t>Nettó haszon jellegű mutató: ekkor a pontszám kifejezi a hatások (hasznok) és a költségek egymáshoz való viszonyát. Ekkor a sorrendben elől a minél nagyobb pontszámú változatok vannak.</w:t>
      </w:r>
    </w:p>
    <w:p w:rsidR="00430296" w:rsidRPr="00D40DC4" w:rsidRDefault="00430296" w:rsidP="006F2748">
      <w:pPr>
        <w:numPr>
          <w:ilvl w:val="0"/>
          <w:numId w:val="76"/>
        </w:numPr>
      </w:pPr>
      <w:r w:rsidRPr="00D40DC4">
        <w:lastRenderedPageBreak/>
        <w:t>Költség-hatékonyság jellegű mutató: ekkor a hatások összegzéséből készített pontszámot osztjuk a költségekkel (költségek pontértékével). Ebben az esetben is a rangsor elején a magasabb értékű változatok állnak.</w:t>
      </w:r>
    </w:p>
    <w:p w:rsidR="00322396" w:rsidRPr="00D40DC4" w:rsidRDefault="00322396" w:rsidP="00221929">
      <w:pPr>
        <w:rPr>
          <w:rFonts w:cs="Arial"/>
        </w:rPr>
      </w:pPr>
      <w:r w:rsidRPr="00D40DC4">
        <w:rPr>
          <w:rFonts w:cs="Arial"/>
        </w:rPr>
        <w:t xml:space="preserve">Egyes változatok kizárásra kerülhetnek a további változatelemzésből a pénzügyi megvalósíthatóság alapján is (pl. ha saját forrás, önerő korlát van, akkor azokat a változatokat – függetlenül az egyszerűsített közgazdasági költség-haszon elemzéstől – ki kell zárni, amelyek finanszírozását a projekt megvalósítója, illetve használói nem tudják felvállalni).  </w:t>
      </w:r>
    </w:p>
    <w:p w:rsidR="00322396" w:rsidRPr="00D40DC4" w:rsidRDefault="00322396" w:rsidP="00DD7E6C">
      <w:pPr>
        <w:pStyle w:val="Cmsor1"/>
      </w:pPr>
      <w:bookmarkStart w:id="418" w:name="_Toc428260347"/>
      <w:bookmarkStart w:id="419" w:name="_Toc428280311"/>
      <w:bookmarkStart w:id="420" w:name="_Toc428430419"/>
      <w:bookmarkStart w:id="421" w:name="_Toc428431383"/>
      <w:bookmarkStart w:id="422" w:name="_Toc428635963"/>
      <w:bookmarkStart w:id="423" w:name="_Toc428771541"/>
      <w:bookmarkStart w:id="424" w:name="_Toc177825046"/>
      <w:bookmarkStart w:id="425" w:name="_Toc241657519"/>
      <w:bookmarkStart w:id="426" w:name="_Toc228260741"/>
      <w:bookmarkStart w:id="427" w:name="_Ref428192010"/>
      <w:bookmarkStart w:id="428" w:name="_Toc436923893"/>
      <w:bookmarkEnd w:id="418"/>
      <w:bookmarkEnd w:id="419"/>
      <w:bookmarkEnd w:id="420"/>
      <w:bookmarkEnd w:id="421"/>
      <w:bookmarkEnd w:id="422"/>
      <w:bookmarkEnd w:id="423"/>
      <w:r w:rsidRPr="00D40DC4">
        <w:lastRenderedPageBreak/>
        <w:t>Pénzügyi elemzés</w:t>
      </w:r>
      <w:bookmarkEnd w:id="424"/>
      <w:bookmarkEnd w:id="425"/>
      <w:bookmarkEnd w:id="426"/>
      <w:bookmarkEnd w:id="427"/>
      <w:bookmarkEnd w:id="428"/>
    </w:p>
    <w:p w:rsidR="0044503D" w:rsidRPr="00D40DC4" w:rsidRDefault="0044503D">
      <w:r w:rsidRPr="00D40DC4">
        <w:t xml:space="preserve">A pénzügyi elemzés a következőket tartalmazza: </w:t>
      </w:r>
    </w:p>
    <w:p w:rsidR="0044503D" w:rsidRPr="00D40DC4" w:rsidRDefault="00D779A5" w:rsidP="006C5A6D">
      <w:pPr>
        <w:numPr>
          <w:ilvl w:val="0"/>
          <w:numId w:val="33"/>
        </w:numPr>
      </w:pPr>
      <w:r w:rsidRPr="00D40DC4">
        <w:t>a projekt pénzügyi megtérülésének elemzése</w:t>
      </w:r>
      <w:r w:rsidR="0044503D" w:rsidRPr="00D40DC4">
        <w:t xml:space="preserve">; </w:t>
      </w:r>
    </w:p>
    <w:p w:rsidR="0044503D" w:rsidRPr="00D40DC4" w:rsidRDefault="00D779A5" w:rsidP="006C5A6D">
      <w:pPr>
        <w:numPr>
          <w:ilvl w:val="0"/>
          <w:numId w:val="33"/>
        </w:numPr>
      </w:pPr>
      <w:r w:rsidRPr="00D40DC4">
        <w:t>a támogatási összeg meghatározása</w:t>
      </w:r>
      <w:r w:rsidR="0044503D" w:rsidRPr="00D40DC4">
        <w:t xml:space="preserve">; </w:t>
      </w:r>
    </w:p>
    <w:p w:rsidR="0044503D" w:rsidRPr="00D40DC4" w:rsidRDefault="0044503D" w:rsidP="006C5A6D">
      <w:pPr>
        <w:numPr>
          <w:ilvl w:val="0"/>
          <w:numId w:val="33"/>
        </w:numPr>
      </w:pPr>
      <w:r w:rsidRPr="00D40DC4">
        <w:t xml:space="preserve">a projekt pénzügyi </w:t>
      </w:r>
      <w:r w:rsidR="00D779A5" w:rsidRPr="00D40DC4">
        <w:t>fenntarthatóságának</w:t>
      </w:r>
      <w:r w:rsidRPr="00D40DC4">
        <w:t xml:space="preserve"> </w:t>
      </w:r>
      <w:r w:rsidR="00D779A5" w:rsidRPr="00D40DC4">
        <w:t>vizsgálata</w:t>
      </w:r>
      <w:r w:rsidRPr="00D40DC4">
        <w:t xml:space="preserve">. </w:t>
      </w:r>
    </w:p>
    <w:p w:rsidR="0044503D" w:rsidRPr="00D40DC4" w:rsidRDefault="0044503D">
      <w:r w:rsidRPr="00D40DC4">
        <w:t xml:space="preserve">A pénzügyi elemzést lehetőség szerint a projekt fejlesztője és/vagy üzemeltetője szempontjából kell elvégezni; ez lehetővé teszi a pénzáramok igazolását és garantálja a pozitív készpénz-egyenleget a pénzügyi fenntarthatóság igazolása, valamint a diszkontált pénzáramok alapján a beruházás és a felhasznált tőke megtérülésére vonatkozó mutatók számítása érdekében. </w:t>
      </w:r>
    </w:p>
    <w:p w:rsidR="00322396" w:rsidRPr="00D40DC4" w:rsidRDefault="00322396">
      <w:r w:rsidRPr="00D40DC4">
        <w:t>A pénzügyi elemzés célját és részleteit alapvetően meghatározza, hogy a támogatást kérő fejlesztés az EU általános támogatási szabályai szempontjából milyen kategóriába esik. A tevékenységek vizsgálatát a támogatás összegének meghatározása szempontjából az alábbi döntési fa szemlélteti.</w:t>
      </w:r>
    </w:p>
    <w:p w:rsidR="00A219B4" w:rsidRPr="00D40DC4" w:rsidRDefault="002C4DE0" w:rsidP="00A219B4">
      <w:pPr>
        <w:keepNext/>
      </w:pPr>
      <w:r>
        <w:lastRenderedPageBreak/>
        <w:fldChar w:fldCharType="begin"/>
      </w:r>
      <w:r>
        <w:instrText xml:space="preserve"> SEQ ábra \* ARABIC </w:instrText>
      </w:r>
      <w:r>
        <w:fldChar w:fldCharType="separate"/>
      </w:r>
      <w:bookmarkStart w:id="429" w:name="_Ref428772499"/>
      <w:bookmarkStart w:id="430" w:name="_Toc436923930"/>
      <w:r w:rsidR="007B4938" w:rsidRPr="00D40DC4">
        <w:rPr>
          <w:noProof/>
        </w:rPr>
        <w:t>4</w:t>
      </w:r>
      <w:bookmarkEnd w:id="429"/>
      <w:r>
        <w:rPr>
          <w:noProof/>
        </w:rPr>
        <w:fldChar w:fldCharType="end"/>
      </w:r>
      <w:r w:rsidR="00A219B4" w:rsidRPr="00D40DC4">
        <w:t xml:space="preserve">. ábra: </w:t>
      </w:r>
      <w:r w:rsidR="001F37EA" w:rsidRPr="00D40DC4">
        <w:t>A pénzügyi elemzés részletezettségének és a támogatási összeg meghatározásának módja a projekt jellemzőinek függvényében</w:t>
      </w:r>
      <w:bookmarkEnd w:id="430"/>
    </w:p>
    <w:p w:rsidR="00322396" w:rsidRPr="00D40DC4" w:rsidRDefault="00322396" w:rsidP="00221929">
      <w:pPr>
        <w:rPr>
          <w:rFonts w:cs="Arial"/>
          <w:noProof/>
        </w:rPr>
      </w:pPr>
      <w:r w:rsidRPr="00D40DC4">
        <w:rPr>
          <w:rFonts w:cs="Arial"/>
          <w:noProof/>
          <w:lang w:eastAsia="hu-HU"/>
        </w:rPr>
        <mc:AlternateContent>
          <mc:Choice Requires="wpc">
            <w:drawing>
              <wp:inline distT="0" distB="0" distL="0" distR="0" wp14:anchorId="78BBBCE7" wp14:editId="554AE852">
                <wp:extent cx="6097905" cy="4677711"/>
                <wp:effectExtent l="19050" t="0" r="17145" b="0"/>
                <wp:docPr id="202" name="Vászo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2" name="AutoShape 16"/>
                        <wps:cNvSpPr>
                          <a:spLocks noChangeArrowheads="1"/>
                        </wps:cNvSpPr>
                        <wps:spPr bwMode="auto">
                          <a:xfrm>
                            <a:off x="3592994" y="993400"/>
                            <a:ext cx="1617339" cy="792923"/>
                          </a:xfrm>
                          <a:prstGeom prst="flowChartDecision">
                            <a:avLst/>
                          </a:prstGeom>
                          <a:solidFill>
                            <a:srgbClr val="FFFFFF"/>
                          </a:solidFill>
                          <a:ln w="9525">
                            <a:solidFill>
                              <a:srgbClr val="000000"/>
                            </a:solidFill>
                            <a:miter lim="800000"/>
                            <a:headEnd/>
                            <a:tailEnd/>
                          </a:ln>
                        </wps:spPr>
                        <wps:txbx>
                          <w:txbxContent>
                            <w:p w:rsidR="00657272" w:rsidRPr="0049237D" w:rsidRDefault="00657272" w:rsidP="0049237D">
                              <w:pPr>
                                <w:jc w:val="center"/>
                                <w:rPr>
                                  <w:sz w:val="16"/>
                                </w:rPr>
                              </w:pPr>
                              <w:r>
                                <w:rPr>
                                  <w:sz w:val="16"/>
                                </w:rPr>
                                <w:t>A projekt 1m euró feletti?</w:t>
                              </w:r>
                            </w:p>
                          </w:txbxContent>
                        </wps:txbx>
                        <wps:bodyPr rot="0" vert="horz" wrap="square" lIns="0" tIns="72000" rIns="0" bIns="0" anchor="t" anchorCtr="0" upright="1">
                          <a:noAutofit/>
                        </wps:bodyPr>
                      </wps:wsp>
                      <wps:wsp>
                        <wps:cNvPr id="173" name="AutoShape 17"/>
                        <wps:cNvSpPr>
                          <a:spLocks noChangeArrowheads="1"/>
                        </wps:cNvSpPr>
                        <wps:spPr bwMode="auto">
                          <a:xfrm>
                            <a:off x="55003" y="181033"/>
                            <a:ext cx="1654175" cy="989382"/>
                          </a:xfrm>
                          <a:prstGeom prst="flowChartDecision">
                            <a:avLst/>
                          </a:prstGeom>
                          <a:solidFill>
                            <a:srgbClr val="FFFFFF"/>
                          </a:solidFill>
                          <a:ln w="9525">
                            <a:solidFill>
                              <a:srgbClr val="000000"/>
                            </a:solidFill>
                            <a:miter lim="800000"/>
                            <a:headEnd/>
                            <a:tailEnd/>
                          </a:ln>
                        </wps:spPr>
                        <wps:txbx>
                          <w:txbxContent>
                            <w:p w:rsidR="00657272" w:rsidRPr="0049237D" w:rsidRDefault="00657272" w:rsidP="0049237D">
                              <w:pPr>
                                <w:jc w:val="center"/>
                                <w:rPr>
                                  <w:sz w:val="16"/>
                                </w:rPr>
                              </w:pPr>
                              <w:r w:rsidRPr="0049237D">
                                <w:rPr>
                                  <w:sz w:val="16"/>
                                </w:rPr>
                                <w:t>Támogatást igénylő szervezet és tevékenység vállalkozás-e?</w:t>
                              </w:r>
                            </w:p>
                          </w:txbxContent>
                        </wps:txbx>
                        <wps:bodyPr rot="0" vert="horz" wrap="square" lIns="0" tIns="0" rIns="0" bIns="0" anchor="t" anchorCtr="0" upright="1">
                          <a:noAutofit/>
                        </wps:bodyPr>
                      </wps:wsp>
                      <wps:wsp>
                        <wps:cNvPr id="175" name="Text Box 19"/>
                        <wps:cNvSpPr txBox="1">
                          <a:spLocks noChangeArrowheads="1"/>
                        </wps:cNvSpPr>
                        <wps:spPr bwMode="auto">
                          <a:xfrm>
                            <a:off x="1635181" y="736692"/>
                            <a:ext cx="586740" cy="449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49237D">
                              <w:pPr>
                                <w:jc w:val="center"/>
                                <w:rPr>
                                  <w:sz w:val="16"/>
                                  <w:szCs w:val="16"/>
                                </w:rPr>
                              </w:pPr>
                              <w:r w:rsidRPr="0098147B">
                                <w:rPr>
                                  <w:sz w:val="16"/>
                                  <w:szCs w:val="16"/>
                                </w:rPr>
                                <w:t>nem</w:t>
                              </w:r>
                            </w:p>
                            <w:p w:rsidR="00657272" w:rsidRPr="0098147B" w:rsidRDefault="00657272" w:rsidP="0049237D">
                              <w:pPr>
                                <w:jc w:val="center"/>
                                <w:rPr>
                                  <w:sz w:val="16"/>
                                  <w:szCs w:val="16"/>
                                </w:rPr>
                              </w:pPr>
                              <w:r w:rsidRPr="0098147B">
                                <w:rPr>
                                  <w:sz w:val="16"/>
                                  <w:szCs w:val="16"/>
                                </w:rPr>
                                <w:t>(közcélú)</w:t>
                              </w:r>
                            </w:p>
                          </w:txbxContent>
                        </wps:txbx>
                        <wps:bodyPr rot="0" vert="horz" wrap="square" lIns="67666" tIns="33833" rIns="67666" bIns="33833" anchor="t" anchorCtr="0" upright="1">
                          <a:noAutofit/>
                        </wps:bodyPr>
                      </wps:wsp>
                      <wps:wsp>
                        <wps:cNvPr id="176" name="Line 20"/>
                        <wps:cNvCnPr>
                          <a:cxnSpLocks noChangeShapeType="1"/>
                          <a:stCxn id="173" idx="2"/>
                          <a:endCxn id="185" idx="0"/>
                        </wps:cNvCnPr>
                        <wps:spPr bwMode="auto">
                          <a:xfrm flipH="1">
                            <a:off x="881063" y="1170415"/>
                            <a:ext cx="1028" cy="5936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Text Box 21"/>
                        <wps:cNvSpPr txBox="1">
                          <a:spLocks noChangeArrowheads="1"/>
                        </wps:cNvSpPr>
                        <wps:spPr bwMode="auto">
                          <a:xfrm>
                            <a:off x="137425" y="1125325"/>
                            <a:ext cx="702977" cy="638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49237D">
                              <w:pPr>
                                <w:jc w:val="center"/>
                                <w:rPr>
                                  <w:sz w:val="16"/>
                                  <w:szCs w:val="16"/>
                                </w:rPr>
                              </w:pPr>
                              <w:r w:rsidRPr="0098147B">
                                <w:rPr>
                                  <w:sz w:val="16"/>
                                  <w:szCs w:val="16"/>
                                </w:rPr>
                                <w:t>igen</w:t>
                              </w:r>
                            </w:p>
                            <w:p w:rsidR="00657272" w:rsidRPr="0098147B" w:rsidRDefault="00657272" w:rsidP="0049237D">
                              <w:pPr>
                                <w:jc w:val="center"/>
                                <w:rPr>
                                  <w:sz w:val="16"/>
                                  <w:szCs w:val="16"/>
                                </w:rPr>
                              </w:pPr>
                              <w:r w:rsidRPr="0098147B">
                                <w:rPr>
                                  <w:sz w:val="16"/>
                                  <w:szCs w:val="16"/>
                                </w:rPr>
                                <w:t>(</w:t>
                              </w:r>
                              <w:r>
                                <w:rPr>
                                  <w:sz w:val="16"/>
                                  <w:szCs w:val="16"/>
                                </w:rPr>
                                <w:t xml:space="preserve">állami támogatás, </w:t>
                              </w:r>
                              <w:r w:rsidRPr="0098147B">
                                <w:rPr>
                                  <w:sz w:val="16"/>
                                  <w:szCs w:val="16"/>
                                </w:rPr>
                                <w:t>State aid)</w:t>
                              </w:r>
                            </w:p>
                          </w:txbxContent>
                        </wps:txbx>
                        <wps:bodyPr rot="0" vert="horz" wrap="square" lIns="67666" tIns="33833" rIns="67666" bIns="33833" anchor="t" anchorCtr="0" upright="1">
                          <a:noAutofit/>
                        </wps:bodyPr>
                      </wps:wsp>
                      <wps:wsp>
                        <wps:cNvPr id="178" name="AutoShape 22"/>
                        <wps:cNvSpPr>
                          <a:spLocks noChangeArrowheads="1"/>
                        </wps:cNvSpPr>
                        <wps:spPr bwMode="auto">
                          <a:xfrm>
                            <a:off x="2131848" y="205888"/>
                            <a:ext cx="1662430" cy="892454"/>
                          </a:xfrm>
                          <a:prstGeom prst="flowChartDecision">
                            <a:avLst/>
                          </a:prstGeom>
                          <a:solidFill>
                            <a:srgbClr val="FFFFFF"/>
                          </a:solidFill>
                          <a:ln w="9525">
                            <a:solidFill>
                              <a:srgbClr val="000000"/>
                            </a:solidFill>
                            <a:miter lim="800000"/>
                            <a:headEnd/>
                            <a:tailEnd/>
                          </a:ln>
                        </wps:spPr>
                        <wps:txbx>
                          <w:txbxContent>
                            <w:p w:rsidR="00657272" w:rsidRPr="0049237D" w:rsidRDefault="00657272" w:rsidP="0049237D">
                              <w:pPr>
                                <w:jc w:val="center"/>
                                <w:rPr>
                                  <w:sz w:val="16"/>
                                </w:rPr>
                              </w:pPr>
                              <w:r w:rsidRPr="0049237D">
                                <w:rPr>
                                  <w:sz w:val="16"/>
                                </w:rPr>
                                <w:t>A projekt nagyprojekt?</w:t>
                              </w:r>
                            </w:p>
                          </w:txbxContent>
                        </wps:txbx>
                        <wps:bodyPr rot="0" vert="horz" wrap="square" lIns="36000" tIns="36000" rIns="36000" bIns="36000" anchor="t" anchorCtr="0" upright="1">
                          <a:noAutofit/>
                        </wps:bodyPr>
                      </wps:wsp>
                      <wps:wsp>
                        <wps:cNvPr id="180" name="Line 24"/>
                        <wps:cNvCnPr>
                          <a:cxnSpLocks noChangeShapeType="1"/>
                          <a:stCxn id="178" idx="2"/>
                          <a:endCxn id="186" idx="0"/>
                        </wps:cNvCnPr>
                        <wps:spPr bwMode="auto">
                          <a:xfrm flipH="1">
                            <a:off x="2952039" y="1098342"/>
                            <a:ext cx="11024" cy="14115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Text Box 25"/>
                        <wps:cNvSpPr txBox="1">
                          <a:spLocks noChangeArrowheads="1"/>
                        </wps:cNvSpPr>
                        <wps:spPr bwMode="auto">
                          <a:xfrm>
                            <a:off x="2594666" y="1645429"/>
                            <a:ext cx="34036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Pr>
                                  <w:sz w:val="16"/>
                                  <w:szCs w:val="16"/>
                                </w:rPr>
                                <w:t>igen</w:t>
                              </w:r>
                            </w:p>
                          </w:txbxContent>
                        </wps:txbx>
                        <wps:bodyPr rot="0" vert="horz" wrap="square" lIns="67666" tIns="33833" rIns="67666" bIns="33833" anchor="t" anchorCtr="0" upright="1">
                          <a:noAutofit/>
                        </wps:bodyPr>
                      </wps:wsp>
                      <wps:wsp>
                        <wps:cNvPr id="183" name="Line 26"/>
                        <wps:cNvCnPr>
                          <a:cxnSpLocks noChangeShapeType="1"/>
                          <a:stCxn id="172" idx="2"/>
                          <a:endCxn id="186" idx="0"/>
                        </wps:cNvCnPr>
                        <wps:spPr bwMode="auto">
                          <a:xfrm flipH="1">
                            <a:off x="2952039" y="1786323"/>
                            <a:ext cx="1449625" cy="7236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Text Box 27"/>
                        <wps:cNvSpPr txBox="1">
                          <a:spLocks noChangeArrowheads="1"/>
                        </wps:cNvSpPr>
                        <wps:spPr bwMode="auto">
                          <a:xfrm>
                            <a:off x="3494418" y="2252384"/>
                            <a:ext cx="44331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sidRPr="0098147B">
                                <w:rPr>
                                  <w:sz w:val="16"/>
                                  <w:szCs w:val="16"/>
                                </w:rPr>
                                <w:t>igen</w:t>
                              </w:r>
                            </w:p>
                          </w:txbxContent>
                        </wps:txbx>
                        <wps:bodyPr rot="0" vert="horz" wrap="square" lIns="67666" tIns="33833" rIns="67666" bIns="33833" anchor="t" anchorCtr="0" upright="1">
                          <a:noAutofit/>
                        </wps:bodyPr>
                      </wps:wsp>
                      <wps:wsp>
                        <wps:cNvPr id="185" name="Text Box 28"/>
                        <wps:cNvSpPr txBox="1">
                          <a:spLocks noChangeArrowheads="1"/>
                        </wps:cNvSpPr>
                        <wps:spPr bwMode="auto">
                          <a:xfrm>
                            <a:off x="0" y="1764048"/>
                            <a:ext cx="1762125" cy="619733"/>
                          </a:xfrm>
                          <a:prstGeom prst="rect">
                            <a:avLst/>
                          </a:prstGeom>
                          <a:solidFill>
                            <a:srgbClr val="FFFFFF"/>
                          </a:solidFill>
                          <a:ln w="38100">
                            <a:solidFill>
                              <a:schemeClr val="accent1">
                                <a:lumMod val="75000"/>
                              </a:schemeClr>
                            </a:solidFill>
                            <a:miter lim="800000"/>
                            <a:headEnd/>
                            <a:tailEnd/>
                          </a:ln>
                        </wps:spPr>
                        <wps:txbx>
                          <w:txbxContent>
                            <w:p w:rsidR="00657272" w:rsidRPr="0098147B" w:rsidRDefault="00657272" w:rsidP="00221929">
                              <w:pPr>
                                <w:rPr>
                                  <w:sz w:val="16"/>
                                  <w:szCs w:val="16"/>
                                </w:rPr>
                              </w:pPr>
                              <w:r w:rsidRPr="0098147B">
                                <w:rPr>
                                  <w:sz w:val="16"/>
                                  <w:szCs w:val="16"/>
                                </w:rPr>
                                <w:t>Pályázati Útmutató szerinti támogatási mértékkel kell számolni</w:t>
                              </w:r>
                              <w:r>
                                <w:rPr>
                                  <w:sz w:val="16"/>
                                  <w:szCs w:val="16"/>
                                </w:rPr>
                                <w:t xml:space="preserve"> figyelembe véve az adott állami támogatásra vonatkozó szabályokat.</w:t>
                              </w:r>
                            </w:p>
                            <w:p w:rsidR="00657272" w:rsidRPr="0098147B" w:rsidRDefault="00657272" w:rsidP="00221929">
                              <w:pPr>
                                <w:rPr>
                                  <w:sz w:val="16"/>
                                  <w:szCs w:val="16"/>
                                </w:rPr>
                              </w:pPr>
                            </w:p>
                          </w:txbxContent>
                        </wps:txbx>
                        <wps:bodyPr rot="0" vert="horz" wrap="square" lIns="36000" tIns="36000" rIns="36000" bIns="36000" anchor="t" anchorCtr="0" upright="1">
                          <a:noAutofit/>
                        </wps:bodyPr>
                      </wps:wsp>
                      <wps:wsp>
                        <wps:cNvPr id="186" name="AutoShape 29"/>
                        <wps:cNvSpPr>
                          <a:spLocks noChangeArrowheads="1"/>
                        </wps:cNvSpPr>
                        <wps:spPr bwMode="auto">
                          <a:xfrm>
                            <a:off x="1762125" y="2509940"/>
                            <a:ext cx="2379828" cy="946809"/>
                          </a:xfrm>
                          <a:prstGeom prst="flowChartDecision">
                            <a:avLst/>
                          </a:prstGeom>
                          <a:solidFill>
                            <a:srgbClr val="FFFFFF"/>
                          </a:solidFill>
                          <a:ln w="9525">
                            <a:solidFill>
                              <a:srgbClr val="000000"/>
                            </a:solidFill>
                            <a:miter lim="800000"/>
                            <a:headEnd/>
                            <a:tailEnd/>
                          </a:ln>
                        </wps:spPr>
                        <wps:txbx>
                          <w:txbxContent>
                            <w:p w:rsidR="00657272" w:rsidRDefault="00657272" w:rsidP="00776F5C">
                              <w:r>
                                <w:rPr>
                                  <w:sz w:val="16"/>
                                  <w:szCs w:val="16"/>
                                </w:rPr>
                                <w:t>A</w:t>
                              </w:r>
                              <w:r w:rsidRPr="0098147B">
                                <w:rPr>
                                  <w:sz w:val="16"/>
                                  <w:szCs w:val="16"/>
                                </w:rPr>
                                <w:t xml:space="preserve"> tevékenység </w:t>
                              </w:r>
                              <w:r>
                                <w:rPr>
                                  <w:sz w:val="16"/>
                                  <w:szCs w:val="16"/>
                                </w:rPr>
                                <w:t>diszkontált nettó bevétele maradványérték nélkül (DNOR)</w:t>
                              </w:r>
                              <w:r w:rsidRPr="0098147B">
                                <w:rPr>
                                  <w:sz w:val="16"/>
                                  <w:szCs w:val="16"/>
                                </w:rPr>
                                <w:t xml:space="preserve"> negatív-e? *</w:t>
                              </w:r>
                            </w:p>
                          </w:txbxContent>
                        </wps:txbx>
                        <wps:bodyPr rot="0" vert="horz" wrap="square" lIns="0" tIns="0" rIns="0" bIns="0" anchor="t" anchorCtr="0" upright="1">
                          <a:noAutofit/>
                        </wps:bodyPr>
                      </wps:wsp>
                      <wps:wsp>
                        <wps:cNvPr id="190" name="Line 33"/>
                        <wps:cNvCnPr>
                          <a:cxnSpLocks noChangeShapeType="1"/>
                          <a:stCxn id="186" idx="3"/>
                          <a:endCxn id="191" idx="1"/>
                        </wps:cNvCnPr>
                        <wps:spPr bwMode="auto">
                          <a:xfrm>
                            <a:off x="4141953" y="2983064"/>
                            <a:ext cx="193827" cy="648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Text Box 34"/>
                        <wps:cNvSpPr txBox="1">
                          <a:spLocks noChangeArrowheads="1"/>
                        </wps:cNvSpPr>
                        <wps:spPr bwMode="auto">
                          <a:xfrm>
                            <a:off x="4335780" y="2727684"/>
                            <a:ext cx="1762125" cy="1807901"/>
                          </a:xfrm>
                          <a:prstGeom prst="rect">
                            <a:avLst/>
                          </a:prstGeom>
                          <a:solidFill>
                            <a:srgbClr val="FFFFFF"/>
                          </a:solidFill>
                          <a:ln w="38100">
                            <a:solidFill>
                              <a:schemeClr val="accent1">
                                <a:lumMod val="75000"/>
                              </a:schemeClr>
                            </a:solidFill>
                            <a:miter lim="800000"/>
                            <a:headEnd/>
                            <a:tailEnd/>
                          </a:ln>
                        </wps:spPr>
                        <wps:txbx>
                          <w:txbxContent>
                            <w:p w:rsidR="00657272" w:rsidRDefault="00657272" w:rsidP="00776F5C">
                              <w:pPr>
                                <w:rPr>
                                  <w:sz w:val="16"/>
                                  <w:szCs w:val="16"/>
                                </w:rPr>
                              </w:pPr>
                              <w:r>
                                <w:rPr>
                                  <w:sz w:val="16"/>
                                  <w:szCs w:val="16"/>
                                </w:rPr>
                                <w:t>Támogatás a nem megtérülő rész után jár. A támogatási összeg meghatározása:</w:t>
                              </w:r>
                            </w:p>
                            <w:p w:rsidR="00657272" w:rsidRPr="0049237D" w:rsidRDefault="00657272" w:rsidP="00776F5C">
                              <w:pPr>
                                <w:rPr>
                                  <w:sz w:val="16"/>
                                  <w:szCs w:val="16"/>
                                </w:rPr>
                              </w:pPr>
                              <w:r w:rsidRPr="0049237D">
                                <w:rPr>
                                  <w:sz w:val="16"/>
                                  <w:szCs w:val="16"/>
                                </w:rPr>
                                <w:t>Diszkontált nettó bevétel alapján számolt támogatási mérték</w:t>
                              </w:r>
                            </w:p>
                            <w:p w:rsidR="00657272" w:rsidRDefault="00657272" w:rsidP="00776F5C">
                              <w:pPr>
                                <w:rPr>
                                  <w:sz w:val="16"/>
                                  <w:szCs w:val="16"/>
                                </w:rPr>
                              </w:pPr>
                              <w:r w:rsidRPr="0049237D">
                                <w:rPr>
                                  <w:sz w:val="16"/>
                                  <w:szCs w:val="16"/>
                                </w:rPr>
                                <w:t xml:space="preserve">Átalány alapján meghatározott </w:t>
                              </w:r>
                              <w:r>
                                <w:rPr>
                                  <w:sz w:val="16"/>
                                  <w:szCs w:val="16"/>
                                </w:rPr>
                                <w:t>nettó bevétel alap számolt támogatási mérték (Átalányszámítási módszer)</w:t>
                              </w:r>
                            </w:p>
                            <w:p w:rsidR="00657272" w:rsidRPr="0049237D" w:rsidRDefault="00657272" w:rsidP="00776F5C">
                              <w:pPr>
                                <w:rPr>
                                  <w:sz w:val="16"/>
                                  <w:szCs w:val="16"/>
                                </w:rPr>
                              </w:pPr>
                              <w:r>
                                <w:rPr>
                                  <w:sz w:val="16"/>
                                  <w:szCs w:val="16"/>
                                </w:rPr>
                                <w:t>Intézkedési szinten maximalizált támogatási arány (</w:t>
                              </w:r>
                              <w:r w:rsidRPr="006D7B1F">
                                <w:rPr>
                                  <w:sz w:val="16"/>
                                  <w:szCs w:val="16"/>
                                </w:rPr>
                                <w:t>Csökkentett társfinanszírozási arány számításának módszere</w:t>
                              </w:r>
                              <w:r>
                                <w:rPr>
                                  <w:sz w:val="16"/>
                                  <w:szCs w:val="16"/>
                                </w:rPr>
                                <w:t>)</w:t>
                              </w:r>
                            </w:p>
                            <w:p w:rsidR="00657272" w:rsidRPr="0098147B" w:rsidRDefault="00657272" w:rsidP="00221929">
                              <w:pPr>
                                <w:rPr>
                                  <w:sz w:val="16"/>
                                  <w:szCs w:val="16"/>
                                </w:rPr>
                              </w:pPr>
                            </w:p>
                          </w:txbxContent>
                        </wps:txbx>
                        <wps:bodyPr rot="0" vert="horz" wrap="square" lIns="36000" tIns="36000" rIns="36000" bIns="36000" anchor="t" anchorCtr="0" upright="1">
                          <a:noAutofit/>
                        </wps:bodyPr>
                      </wps:wsp>
                      <wps:wsp>
                        <wps:cNvPr id="192" name="Line 35"/>
                        <wps:cNvCnPr>
                          <a:cxnSpLocks noChangeShapeType="1"/>
                          <a:stCxn id="173" idx="3"/>
                          <a:endCxn id="178" idx="1"/>
                        </wps:cNvCnPr>
                        <wps:spPr bwMode="auto">
                          <a:xfrm flipV="1">
                            <a:off x="1709178" y="652115"/>
                            <a:ext cx="422670" cy="236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39"/>
                        <wps:cNvCnPr>
                          <a:cxnSpLocks noChangeShapeType="1"/>
                          <a:stCxn id="172" idx="3"/>
                          <a:endCxn id="199" idx="0"/>
                        </wps:cNvCnPr>
                        <wps:spPr bwMode="auto">
                          <a:xfrm>
                            <a:off x="5210333" y="1389839"/>
                            <a:ext cx="0" cy="7559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Text Box 40"/>
                        <wps:cNvSpPr txBox="1">
                          <a:spLocks noChangeArrowheads="1"/>
                        </wps:cNvSpPr>
                        <wps:spPr bwMode="auto">
                          <a:xfrm>
                            <a:off x="5255442" y="1593575"/>
                            <a:ext cx="34036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sidRPr="0098147B">
                                <w:rPr>
                                  <w:sz w:val="16"/>
                                  <w:szCs w:val="16"/>
                                </w:rPr>
                                <w:t>nem</w:t>
                              </w:r>
                            </w:p>
                          </w:txbxContent>
                        </wps:txbx>
                        <wps:bodyPr rot="0" vert="horz" wrap="square" lIns="67666" tIns="33833" rIns="67666" bIns="33833" anchor="t" anchorCtr="0" upright="1">
                          <a:noAutofit/>
                        </wps:bodyPr>
                      </wps:wsp>
                      <wps:wsp>
                        <wps:cNvPr id="198" name="Text Box 41"/>
                        <wps:cNvSpPr txBox="1">
                          <a:spLocks noChangeArrowheads="1"/>
                        </wps:cNvSpPr>
                        <wps:spPr bwMode="auto">
                          <a:xfrm>
                            <a:off x="3761954" y="3193535"/>
                            <a:ext cx="424201"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sidRPr="0098147B">
                                <w:rPr>
                                  <w:sz w:val="16"/>
                                  <w:szCs w:val="16"/>
                                </w:rPr>
                                <w:t>igen</w:t>
                              </w:r>
                            </w:p>
                          </w:txbxContent>
                        </wps:txbx>
                        <wps:bodyPr rot="0" vert="horz" wrap="square" lIns="67666" tIns="33833" rIns="67666" bIns="33833" anchor="t" anchorCtr="0" upright="1">
                          <a:noAutofit/>
                        </wps:bodyPr>
                      </wps:wsp>
                      <wps:wsp>
                        <wps:cNvPr id="199" name="Text Box 42"/>
                        <wps:cNvSpPr txBox="1">
                          <a:spLocks noChangeArrowheads="1"/>
                        </wps:cNvSpPr>
                        <wps:spPr bwMode="auto">
                          <a:xfrm>
                            <a:off x="4322760" y="2145766"/>
                            <a:ext cx="1775145" cy="393390"/>
                          </a:xfrm>
                          <a:prstGeom prst="rect">
                            <a:avLst/>
                          </a:prstGeom>
                          <a:solidFill>
                            <a:srgbClr val="FFFFFF"/>
                          </a:solidFill>
                          <a:ln w="38100">
                            <a:solidFill>
                              <a:schemeClr val="accent1">
                                <a:lumMod val="75000"/>
                              </a:schemeClr>
                            </a:solidFill>
                            <a:miter lim="800000"/>
                            <a:headEnd/>
                            <a:tailEnd/>
                          </a:ln>
                        </wps:spPr>
                        <wps:txbx>
                          <w:txbxContent>
                            <w:p w:rsidR="00657272" w:rsidRPr="0098147B" w:rsidRDefault="00657272" w:rsidP="00221929">
                              <w:pPr>
                                <w:rPr>
                                  <w:sz w:val="16"/>
                                  <w:szCs w:val="16"/>
                                </w:rPr>
                              </w:pPr>
                              <w:r w:rsidRPr="0098147B">
                                <w:rPr>
                                  <w:sz w:val="16"/>
                                  <w:szCs w:val="16"/>
                                </w:rPr>
                                <w:t>Pályázati Útmutató szerinti támogatási mértékkel kell számolni</w:t>
                              </w:r>
                            </w:p>
                            <w:p w:rsidR="00657272" w:rsidRPr="0098147B" w:rsidRDefault="00657272" w:rsidP="00221929">
                              <w:pPr>
                                <w:rPr>
                                  <w:sz w:val="16"/>
                                  <w:szCs w:val="16"/>
                                </w:rPr>
                              </w:pPr>
                            </w:p>
                          </w:txbxContent>
                        </wps:txbx>
                        <wps:bodyPr rot="0" vert="horz" wrap="square" lIns="36000" tIns="36000" rIns="36000" bIns="36000" anchor="t" anchorCtr="0" upright="1">
                          <a:noAutofit/>
                        </wps:bodyPr>
                      </wps:wsp>
                      <wps:wsp>
                        <wps:cNvPr id="200" name="Line 43"/>
                        <wps:cNvCnPr>
                          <a:cxnSpLocks noChangeShapeType="1"/>
                          <a:stCxn id="178" idx="3"/>
                          <a:endCxn id="172" idx="0"/>
                        </wps:cNvCnPr>
                        <wps:spPr bwMode="auto">
                          <a:xfrm>
                            <a:off x="3794278" y="652115"/>
                            <a:ext cx="607386" cy="341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Text Box 44"/>
                        <wps:cNvSpPr txBox="1">
                          <a:spLocks noChangeArrowheads="1"/>
                        </wps:cNvSpPr>
                        <wps:spPr bwMode="auto">
                          <a:xfrm>
                            <a:off x="4062139" y="512794"/>
                            <a:ext cx="73660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Pr>
                                  <w:sz w:val="16"/>
                                  <w:szCs w:val="16"/>
                                </w:rPr>
                                <w:t>nem</w:t>
                              </w:r>
                            </w:p>
                          </w:txbxContent>
                        </wps:txbx>
                        <wps:bodyPr rot="0" vert="horz" wrap="square" lIns="67666" tIns="33833" rIns="67666" bIns="33833" anchor="t" anchorCtr="0" upright="1">
                          <a:noAutofit/>
                        </wps:bodyPr>
                      </wps:wsp>
                      <wps:wsp>
                        <wps:cNvPr id="265" name="Line 39"/>
                        <wps:cNvCnPr>
                          <a:cxnSpLocks noChangeShapeType="1"/>
                          <a:stCxn id="186" idx="2"/>
                          <a:endCxn id="267" idx="0"/>
                        </wps:cNvCnPr>
                        <wps:spPr bwMode="auto">
                          <a:xfrm>
                            <a:off x="2952039" y="3456749"/>
                            <a:ext cx="8954" cy="3362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Text Box 40"/>
                        <wps:cNvSpPr txBox="1">
                          <a:spLocks noChangeArrowheads="1"/>
                        </wps:cNvSpPr>
                        <wps:spPr bwMode="auto">
                          <a:xfrm>
                            <a:off x="2494371" y="3509559"/>
                            <a:ext cx="340360" cy="269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7272" w:rsidRPr="0098147B" w:rsidRDefault="00657272" w:rsidP="00221929">
                              <w:pPr>
                                <w:rPr>
                                  <w:sz w:val="16"/>
                                  <w:szCs w:val="16"/>
                                </w:rPr>
                              </w:pPr>
                              <w:r w:rsidRPr="0098147B">
                                <w:rPr>
                                  <w:sz w:val="16"/>
                                  <w:szCs w:val="16"/>
                                </w:rPr>
                                <w:t>nem</w:t>
                              </w:r>
                            </w:p>
                          </w:txbxContent>
                        </wps:txbx>
                        <wps:bodyPr rot="0" vert="horz" wrap="square" lIns="67666" tIns="33833" rIns="67666" bIns="33833" anchor="t" anchorCtr="0" upright="1">
                          <a:noAutofit/>
                        </wps:bodyPr>
                      </wps:wsp>
                      <wps:wsp>
                        <wps:cNvPr id="267" name="Text Box 42"/>
                        <wps:cNvSpPr txBox="1">
                          <a:spLocks noChangeArrowheads="1"/>
                        </wps:cNvSpPr>
                        <wps:spPr bwMode="auto">
                          <a:xfrm>
                            <a:off x="2079930" y="3793018"/>
                            <a:ext cx="1762125" cy="370840"/>
                          </a:xfrm>
                          <a:prstGeom prst="rect">
                            <a:avLst/>
                          </a:prstGeom>
                          <a:solidFill>
                            <a:srgbClr val="FFFFFF"/>
                          </a:solidFill>
                          <a:ln w="38100">
                            <a:solidFill>
                              <a:schemeClr val="accent1">
                                <a:lumMod val="75000"/>
                              </a:schemeClr>
                            </a:solidFill>
                            <a:miter lim="800000"/>
                            <a:headEnd/>
                            <a:tailEnd/>
                          </a:ln>
                        </wps:spPr>
                        <wps:txbx>
                          <w:txbxContent>
                            <w:p w:rsidR="00657272" w:rsidRPr="0098147B" w:rsidRDefault="00657272" w:rsidP="00221929">
                              <w:pPr>
                                <w:rPr>
                                  <w:sz w:val="16"/>
                                  <w:szCs w:val="16"/>
                                </w:rPr>
                              </w:pPr>
                              <w:r w:rsidRPr="0098147B">
                                <w:rPr>
                                  <w:sz w:val="16"/>
                                  <w:szCs w:val="16"/>
                                </w:rPr>
                                <w:t>Pályázati Útmutató szerinti támogatási mértékkel kell számolni</w:t>
                              </w:r>
                            </w:p>
                            <w:p w:rsidR="00657272" w:rsidRPr="0098147B" w:rsidRDefault="00657272" w:rsidP="00221929">
                              <w:pPr>
                                <w:rPr>
                                  <w:sz w:val="16"/>
                                  <w:szCs w:val="16"/>
                                </w:rPr>
                              </w:pPr>
                            </w:p>
                          </w:txbxContent>
                        </wps:txbx>
                        <wps:bodyPr rot="0" vert="horz" wrap="square" lIns="36000" tIns="36000" rIns="36000" bIns="36000" anchor="t" anchorCtr="0" upright="1">
                          <a:noAutofit/>
                        </wps:bodyPr>
                      </wps:wsp>
                    </wpc:wpc>
                  </a:graphicData>
                </a:graphic>
              </wp:inline>
            </w:drawing>
          </mc:Choice>
          <mc:Fallback>
            <w:pict>
              <v:group w14:anchorId="78BBBCE7" id="Vászon 14" o:spid="_x0000_s1112" editas="canvas" style="width:480.15pt;height:368.3pt;mso-position-horizontal-relative:char;mso-position-vertical-relative:line" coordsize="60979,4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">
                <v:shape id="_x0000_s1113" type="#_x0000_t75" style="position:absolute;width:60979;height:46774;visibility:visible;mso-wrap-style:square">
                  <v:fill o:detectmouseclick="t"/>
                  <v:path o:connecttype="none"/>
                </v:shape>
                <v:shapetype id="_x0000_t110" coordsize="21600,21600" o:spt="110" path="m10800,l,10800,10800,21600,21600,10800xe">
                  <v:stroke joinstyle="miter"/>
                  <v:path gradientshapeok="t" o:connecttype="rect" textboxrect="5400,5400,16200,16200"/>
                </v:shapetype>
                <v:shape id="AutoShape 16" o:spid="_x0000_s1114" type="#_x0000_t110" style="position:absolute;left:35929;top:9934;width:16174;height:7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">
                  <v:textbox inset="0,2mm,0,0">
                    <w:txbxContent>
                      <w:p w:rsidR="00657272" w:rsidRPr="0049237D" w:rsidRDefault="00657272" w:rsidP="0049237D">
                        <w:pPr>
                          <w:jc w:val="center"/>
                          <w:rPr>
                            <w:sz w:val="16"/>
                          </w:rPr>
                        </w:pPr>
                        <w:r>
                          <w:rPr>
                            <w:sz w:val="16"/>
                          </w:rPr>
                          <w:t>A projekt 1m euró feletti?</w:t>
                        </w:r>
                      </w:p>
                    </w:txbxContent>
                  </v:textbox>
                </v:shape>
                <v:shape id="AutoShape 17" o:spid="_x0000_s1115" type="#_x0000_t110" style="position:absolute;left:550;top:1810;width:16541;height:9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">
                  <v:textbox inset="0,0,0,0">
                    <w:txbxContent>
                      <w:p w:rsidR="00657272" w:rsidRPr="0049237D" w:rsidRDefault="00657272" w:rsidP="0049237D">
                        <w:pPr>
                          <w:jc w:val="center"/>
                          <w:rPr>
                            <w:sz w:val="16"/>
                          </w:rPr>
                        </w:pPr>
                        <w:r w:rsidRPr="0049237D">
                          <w:rPr>
                            <w:sz w:val="16"/>
                          </w:rPr>
                          <w:t>Támogatást igénylő szervezet és tevékenység vállalkozás-e?</w:t>
                        </w:r>
                      </w:p>
                    </w:txbxContent>
                  </v:textbox>
                </v:shape>
                <v:shape id="Text Box 19" o:spid="_x0000_s1116" type="#_x0000_t202" style="position:absolute;left:16351;top:7366;width:5868;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" stroked="f">
                  <v:textbox inset="1.87961mm,.93981mm,1.87961mm,.93981mm">
                    <w:txbxContent>
                      <w:p w:rsidR="00657272" w:rsidRPr="0098147B" w:rsidRDefault="00657272" w:rsidP="0049237D">
                        <w:pPr>
                          <w:jc w:val="center"/>
                          <w:rPr>
                            <w:sz w:val="16"/>
                            <w:szCs w:val="16"/>
                          </w:rPr>
                        </w:pPr>
                        <w:r w:rsidRPr="0098147B">
                          <w:rPr>
                            <w:sz w:val="16"/>
                            <w:szCs w:val="16"/>
                          </w:rPr>
                          <w:t>nem</w:t>
                        </w:r>
                      </w:p>
                      <w:p w:rsidR="00657272" w:rsidRPr="0098147B" w:rsidRDefault="00657272" w:rsidP="0049237D">
                        <w:pPr>
                          <w:jc w:val="center"/>
                          <w:rPr>
                            <w:sz w:val="16"/>
                            <w:szCs w:val="16"/>
                          </w:rPr>
                        </w:pPr>
                        <w:r w:rsidRPr="0098147B">
                          <w:rPr>
                            <w:sz w:val="16"/>
                            <w:szCs w:val="16"/>
                          </w:rPr>
                          <w:t>(közcélú)</w:t>
                        </w:r>
                      </w:p>
                    </w:txbxContent>
                  </v:textbox>
                </v:shape>
                <v:line id="Line 20" o:spid="_x0000_s1117" style="position:absolute;flip:x;visibility:visible;mso-wrap-style:square" from="8810,11704" to="8820,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">
                  <v:stroke endarrow="block"/>
                </v:line>
                <v:shape id="Text Box 21" o:spid="_x0000_s1118" type="#_x0000_t202" style="position:absolute;left:1374;top:11253;width:7030;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" stroked="f">
                  <v:textbox inset="1.87961mm,.93981mm,1.87961mm,.93981mm">
                    <w:txbxContent>
                      <w:p w:rsidR="00657272" w:rsidRPr="0098147B" w:rsidRDefault="00657272" w:rsidP="0049237D">
                        <w:pPr>
                          <w:jc w:val="center"/>
                          <w:rPr>
                            <w:sz w:val="16"/>
                            <w:szCs w:val="16"/>
                          </w:rPr>
                        </w:pPr>
                        <w:r w:rsidRPr="0098147B">
                          <w:rPr>
                            <w:sz w:val="16"/>
                            <w:szCs w:val="16"/>
                          </w:rPr>
                          <w:t>igen</w:t>
                        </w:r>
                      </w:p>
                      <w:p w:rsidR="00657272" w:rsidRPr="0098147B" w:rsidRDefault="00657272" w:rsidP="0049237D">
                        <w:pPr>
                          <w:jc w:val="center"/>
                          <w:rPr>
                            <w:sz w:val="16"/>
                            <w:szCs w:val="16"/>
                          </w:rPr>
                        </w:pPr>
                        <w:r w:rsidRPr="0098147B">
                          <w:rPr>
                            <w:sz w:val="16"/>
                            <w:szCs w:val="16"/>
                          </w:rPr>
                          <w:t>(</w:t>
                        </w:r>
                        <w:r>
                          <w:rPr>
                            <w:sz w:val="16"/>
                            <w:szCs w:val="16"/>
                          </w:rPr>
                          <w:t xml:space="preserve">állami támogatás, </w:t>
                        </w:r>
                        <w:r w:rsidRPr="0098147B">
                          <w:rPr>
                            <w:sz w:val="16"/>
                            <w:szCs w:val="16"/>
                          </w:rPr>
                          <w:t>State aid)</w:t>
                        </w:r>
                      </w:p>
                    </w:txbxContent>
                  </v:textbox>
                </v:shape>
                <v:shape id="AutoShape 22" o:spid="_x0000_s1119" type="#_x0000_t110" style="position:absolute;left:21318;top:2058;width:16624;height:8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">
                  <v:textbox inset="1mm,1mm,1mm,1mm">
                    <w:txbxContent>
                      <w:p w:rsidR="00657272" w:rsidRPr="0049237D" w:rsidRDefault="00657272" w:rsidP="0049237D">
                        <w:pPr>
                          <w:jc w:val="center"/>
                          <w:rPr>
                            <w:sz w:val="16"/>
                          </w:rPr>
                        </w:pPr>
                        <w:r w:rsidRPr="0049237D">
                          <w:rPr>
                            <w:sz w:val="16"/>
                          </w:rPr>
                          <w:t>A projekt nagyprojekt?</w:t>
                        </w:r>
                      </w:p>
                    </w:txbxContent>
                  </v:textbox>
                </v:shape>
                <v:line id="Line 24" o:spid="_x0000_s1120" style="position:absolute;flip:x;visibility:visible;mso-wrap-style:square" from="29520,10983" to="29630,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">
                  <v:stroke endarrow="block"/>
                </v:line>
                <v:shape id="Text Box 25" o:spid="_x0000_s1121" type="#_x0000_t202" style="position:absolute;left:25946;top:16454;width:3404;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" stroked="f">
                  <v:textbox inset="1.87961mm,.93981mm,1.87961mm,.93981mm">
                    <w:txbxContent>
                      <w:p w:rsidR="00657272" w:rsidRPr="0098147B" w:rsidRDefault="00657272" w:rsidP="00221929">
                        <w:pPr>
                          <w:rPr>
                            <w:sz w:val="16"/>
                            <w:szCs w:val="16"/>
                          </w:rPr>
                        </w:pPr>
                        <w:r>
                          <w:rPr>
                            <w:sz w:val="16"/>
                            <w:szCs w:val="16"/>
                          </w:rPr>
                          <w:t>igen</w:t>
                        </w:r>
                      </w:p>
                    </w:txbxContent>
                  </v:textbox>
                </v:shape>
                <v:line id="Line 26" o:spid="_x0000_s1122" style="position:absolute;flip:x;visibility:visible;mso-wrap-style:square" from="29520,17863" to="44016,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">
                  <v:stroke endarrow="block"/>
                </v:line>
                <v:shape id="Text Box 27" o:spid="_x0000_s1123" type="#_x0000_t202" style="position:absolute;left:34944;top:22523;width:4433;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" stroked="f">
                  <v:textbox inset="1.87961mm,.93981mm,1.87961mm,.93981mm">
                    <w:txbxContent>
                      <w:p w:rsidR="00657272" w:rsidRPr="0098147B" w:rsidRDefault="00657272" w:rsidP="00221929">
                        <w:pPr>
                          <w:rPr>
                            <w:sz w:val="16"/>
                            <w:szCs w:val="16"/>
                          </w:rPr>
                        </w:pPr>
                        <w:r w:rsidRPr="0098147B">
                          <w:rPr>
                            <w:sz w:val="16"/>
                            <w:szCs w:val="16"/>
                          </w:rPr>
                          <w:t>igen</w:t>
                        </w:r>
                      </w:p>
                    </w:txbxContent>
                  </v:textbox>
                </v:shape>
                <v:shape id="Text Box 28" o:spid="_x0000_s1124" type="#_x0000_t202" style="position:absolute;top:17640;width:17621;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" strokecolor="#2e74b5 [2404]" strokeweight="3pt">
                  <v:textbox inset="1mm,1mm,1mm,1mm">
                    <w:txbxContent>
                      <w:p w:rsidR="00657272" w:rsidRPr="0098147B" w:rsidRDefault="00657272" w:rsidP="00221929">
                        <w:pPr>
                          <w:rPr>
                            <w:sz w:val="16"/>
                            <w:szCs w:val="16"/>
                          </w:rPr>
                        </w:pPr>
                        <w:r w:rsidRPr="0098147B">
                          <w:rPr>
                            <w:sz w:val="16"/>
                            <w:szCs w:val="16"/>
                          </w:rPr>
                          <w:t>Pályázati Útmutató szerinti támogatási mértékkel kell számolni</w:t>
                        </w:r>
                        <w:r>
                          <w:rPr>
                            <w:sz w:val="16"/>
                            <w:szCs w:val="16"/>
                          </w:rPr>
                          <w:t xml:space="preserve"> figyelembe véve az adott állami támogatásra vonatkozó szabályokat.</w:t>
                        </w:r>
                      </w:p>
                      <w:p w:rsidR="00657272" w:rsidRPr="0098147B" w:rsidRDefault="00657272" w:rsidP="00221929">
                        <w:pPr>
                          <w:rPr>
                            <w:sz w:val="16"/>
                            <w:szCs w:val="16"/>
                          </w:rPr>
                        </w:pPr>
                      </w:p>
                    </w:txbxContent>
                  </v:textbox>
                </v:shape>
                <v:shape id="AutoShape 29" o:spid="_x0000_s1125" type="#_x0000_t110" style="position:absolute;left:17621;top:25099;width:23798;height:9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">
                  <v:textbox inset="0,0,0,0">
                    <w:txbxContent>
                      <w:p w:rsidR="00657272" w:rsidRDefault="00657272" w:rsidP="00776F5C">
                        <w:r>
                          <w:rPr>
                            <w:sz w:val="16"/>
                            <w:szCs w:val="16"/>
                          </w:rPr>
                          <w:t>A</w:t>
                        </w:r>
                        <w:r w:rsidRPr="0098147B">
                          <w:rPr>
                            <w:sz w:val="16"/>
                            <w:szCs w:val="16"/>
                          </w:rPr>
                          <w:t xml:space="preserve"> tevékenység </w:t>
                        </w:r>
                        <w:r>
                          <w:rPr>
                            <w:sz w:val="16"/>
                            <w:szCs w:val="16"/>
                          </w:rPr>
                          <w:t>diszkontált nettó bevétele maradványérték nélkül (DNOR)</w:t>
                        </w:r>
                        <w:r w:rsidRPr="0098147B">
                          <w:rPr>
                            <w:sz w:val="16"/>
                            <w:szCs w:val="16"/>
                          </w:rPr>
                          <w:t xml:space="preserve"> negatív-e? *</w:t>
                        </w:r>
                      </w:p>
                    </w:txbxContent>
                  </v:textbox>
                </v:shape>
                <v:line id="Line 33" o:spid="_x0000_s1126" style="position:absolute;visibility:visible;mso-wrap-style:square" from="41419,29830" to="43357,3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">
                  <v:stroke endarrow="block"/>
                </v:line>
                <v:shape id="Text Box 34" o:spid="_x0000_s1127" type="#_x0000_t202" style="position:absolute;left:43357;top:27276;width:17622;height:18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" strokecolor="#2e74b5 [2404]" strokeweight="3pt">
                  <v:textbox inset="1mm,1mm,1mm,1mm">
                    <w:txbxContent>
                      <w:p w:rsidR="00657272" w:rsidRDefault="00657272" w:rsidP="00776F5C">
                        <w:pPr>
                          <w:rPr>
                            <w:sz w:val="16"/>
                            <w:szCs w:val="16"/>
                          </w:rPr>
                        </w:pPr>
                        <w:r>
                          <w:rPr>
                            <w:sz w:val="16"/>
                            <w:szCs w:val="16"/>
                          </w:rPr>
                          <w:t>Támogatás a nem megtérülő rész után jár. A támogatási összeg meghatározása:</w:t>
                        </w:r>
                      </w:p>
                      <w:p w:rsidR="00657272" w:rsidRPr="0049237D" w:rsidRDefault="00657272" w:rsidP="00776F5C">
                        <w:pPr>
                          <w:rPr>
                            <w:sz w:val="16"/>
                            <w:szCs w:val="16"/>
                          </w:rPr>
                        </w:pPr>
                        <w:r w:rsidRPr="0049237D">
                          <w:rPr>
                            <w:sz w:val="16"/>
                            <w:szCs w:val="16"/>
                          </w:rPr>
                          <w:t>Diszkontált nettó bevétel alapján számolt támogatási mérték</w:t>
                        </w:r>
                      </w:p>
                      <w:p w:rsidR="00657272" w:rsidRDefault="00657272" w:rsidP="00776F5C">
                        <w:pPr>
                          <w:rPr>
                            <w:sz w:val="16"/>
                            <w:szCs w:val="16"/>
                          </w:rPr>
                        </w:pPr>
                        <w:r w:rsidRPr="0049237D">
                          <w:rPr>
                            <w:sz w:val="16"/>
                            <w:szCs w:val="16"/>
                          </w:rPr>
                          <w:t xml:space="preserve">Átalány alapján meghatározott </w:t>
                        </w:r>
                        <w:r>
                          <w:rPr>
                            <w:sz w:val="16"/>
                            <w:szCs w:val="16"/>
                          </w:rPr>
                          <w:t>nettó bevétel alap számolt támogatási mérték (Átalányszámítási módszer)</w:t>
                        </w:r>
                      </w:p>
                      <w:p w:rsidR="00657272" w:rsidRPr="0049237D" w:rsidRDefault="00657272" w:rsidP="00776F5C">
                        <w:pPr>
                          <w:rPr>
                            <w:sz w:val="16"/>
                            <w:szCs w:val="16"/>
                          </w:rPr>
                        </w:pPr>
                        <w:r>
                          <w:rPr>
                            <w:sz w:val="16"/>
                            <w:szCs w:val="16"/>
                          </w:rPr>
                          <w:t>Intézkedési szinten maximalizált támogatási arány (</w:t>
                        </w:r>
                        <w:r w:rsidRPr="006D7B1F">
                          <w:rPr>
                            <w:sz w:val="16"/>
                            <w:szCs w:val="16"/>
                          </w:rPr>
                          <w:t>Csökkentett társfinanszírozási arány számításának módszere</w:t>
                        </w:r>
                        <w:r>
                          <w:rPr>
                            <w:sz w:val="16"/>
                            <w:szCs w:val="16"/>
                          </w:rPr>
                          <w:t>)</w:t>
                        </w:r>
                      </w:p>
                      <w:p w:rsidR="00657272" w:rsidRPr="0098147B" w:rsidRDefault="00657272" w:rsidP="00221929">
                        <w:pPr>
                          <w:rPr>
                            <w:sz w:val="16"/>
                            <w:szCs w:val="16"/>
                          </w:rPr>
                        </w:pPr>
                      </w:p>
                    </w:txbxContent>
                  </v:textbox>
                </v:shape>
                <v:line id="Line 35" o:spid="_x0000_s1128" style="position:absolute;flip:y;visibility:visible;mso-wrap-style:square" from="17091,6521" to="21318,6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">
                  <v:stroke endarrow="block"/>
                </v:line>
                <v:line id="Line 39" o:spid="_x0000_s1129" style="position:absolute;visibility:visible;mso-wrap-style:square" from="52103,13898" to="52103,2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">
                  <v:stroke endarrow="block"/>
                </v:line>
                <v:shape id="Text Box 40" o:spid="_x0000_s1130" type="#_x0000_t202" style="position:absolute;left:52554;top:15935;width:3404;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" stroked="f">
                  <v:textbox inset="1.87961mm,.93981mm,1.87961mm,.93981mm">
                    <w:txbxContent>
                      <w:p w:rsidR="00657272" w:rsidRPr="0098147B" w:rsidRDefault="00657272" w:rsidP="00221929">
                        <w:pPr>
                          <w:rPr>
                            <w:sz w:val="16"/>
                            <w:szCs w:val="16"/>
                          </w:rPr>
                        </w:pPr>
                        <w:r w:rsidRPr="0098147B">
                          <w:rPr>
                            <w:sz w:val="16"/>
                            <w:szCs w:val="16"/>
                          </w:rPr>
                          <w:t>nem</w:t>
                        </w:r>
                      </w:p>
                    </w:txbxContent>
                  </v:textbox>
                </v:shape>
                <v:shape id="Text Box 41" o:spid="_x0000_s1131" type="#_x0000_t202" style="position:absolute;left:37619;top:31935;width:4242;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" stroked="f">
                  <v:textbox inset="1.87961mm,.93981mm,1.87961mm,.93981mm">
                    <w:txbxContent>
                      <w:p w:rsidR="00657272" w:rsidRPr="0098147B" w:rsidRDefault="00657272" w:rsidP="00221929">
                        <w:pPr>
                          <w:rPr>
                            <w:sz w:val="16"/>
                            <w:szCs w:val="16"/>
                          </w:rPr>
                        </w:pPr>
                        <w:r w:rsidRPr="0098147B">
                          <w:rPr>
                            <w:sz w:val="16"/>
                            <w:szCs w:val="16"/>
                          </w:rPr>
                          <w:t>igen</w:t>
                        </w:r>
                      </w:p>
                    </w:txbxContent>
                  </v:textbox>
                </v:shape>
                <v:shape id="Text Box 42" o:spid="_x0000_s1132" type="#_x0000_t202" style="position:absolute;left:43227;top:21457;width:17752;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" strokecolor="#2e74b5 [2404]" strokeweight="3pt">
                  <v:textbox inset="1mm,1mm,1mm,1mm">
                    <w:txbxContent>
                      <w:p w:rsidR="00657272" w:rsidRPr="0098147B" w:rsidRDefault="00657272" w:rsidP="00221929">
                        <w:pPr>
                          <w:rPr>
                            <w:sz w:val="16"/>
                            <w:szCs w:val="16"/>
                          </w:rPr>
                        </w:pPr>
                        <w:r w:rsidRPr="0098147B">
                          <w:rPr>
                            <w:sz w:val="16"/>
                            <w:szCs w:val="16"/>
                          </w:rPr>
                          <w:t>Pályázati Útmutató szerinti támogatási mértékkel kell számolni</w:t>
                        </w:r>
                      </w:p>
                      <w:p w:rsidR="00657272" w:rsidRPr="0098147B" w:rsidRDefault="00657272" w:rsidP="00221929">
                        <w:pPr>
                          <w:rPr>
                            <w:sz w:val="16"/>
                            <w:szCs w:val="16"/>
                          </w:rPr>
                        </w:pPr>
                      </w:p>
                    </w:txbxContent>
                  </v:textbox>
                </v:shape>
                <v:line id="Line 43" o:spid="_x0000_s1133" style="position:absolute;visibility:visible;mso-wrap-style:square" from="37942,6521" to="44016,9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">
                  <v:stroke endarrow="block"/>
                </v:line>
                <v:shape id="Text Box 44" o:spid="_x0000_s1134" type="#_x0000_t202" style="position:absolute;left:40621;top:5127;width:7366;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" stroked="f">
                  <v:textbox inset="1.87961mm,.93981mm,1.87961mm,.93981mm">
                    <w:txbxContent>
                      <w:p w:rsidR="00657272" w:rsidRPr="0098147B" w:rsidRDefault="00657272" w:rsidP="00221929">
                        <w:pPr>
                          <w:rPr>
                            <w:sz w:val="16"/>
                            <w:szCs w:val="16"/>
                          </w:rPr>
                        </w:pPr>
                        <w:r>
                          <w:rPr>
                            <w:sz w:val="16"/>
                            <w:szCs w:val="16"/>
                          </w:rPr>
                          <w:t>nem</w:t>
                        </w:r>
                      </w:p>
                    </w:txbxContent>
                  </v:textbox>
                </v:shape>
                <v:line id="Line 39" o:spid="_x0000_s1135" style="position:absolute;visibility:visible;mso-wrap-style:square" from="29520,34567" to="29609,37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">
                  <v:stroke endarrow="block"/>
                </v:line>
                <v:shape id="Text Box 40" o:spid="_x0000_s1136" type="#_x0000_t202" style="position:absolute;left:24943;top:35095;width:3404;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" stroked="f">
                  <v:textbox inset="1.87961mm,.93981mm,1.87961mm,.93981mm">
                    <w:txbxContent>
                      <w:p w:rsidR="00657272" w:rsidRPr="0098147B" w:rsidRDefault="00657272" w:rsidP="00221929">
                        <w:pPr>
                          <w:rPr>
                            <w:sz w:val="16"/>
                            <w:szCs w:val="16"/>
                          </w:rPr>
                        </w:pPr>
                        <w:r w:rsidRPr="0098147B">
                          <w:rPr>
                            <w:sz w:val="16"/>
                            <w:szCs w:val="16"/>
                          </w:rPr>
                          <w:t>nem</w:t>
                        </w:r>
                      </w:p>
                    </w:txbxContent>
                  </v:textbox>
                </v:shape>
                <v:shape id="Text Box 42" o:spid="_x0000_s1137" type="#_x0000_t202" style="position:absolute;left:20799;top:37930;width:1762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" strokecolor="#2e74b5 [2404]" strokeweight="3pt">
                  <v:textbox inset="1mm,1mm,1mm,1mm">
                    <w:txbxContent>
                      <w:p w:rsidR="00657272" w:rsidRPr="0098147B" w:rsidRDefault="00657272" w:rsidP="00221929">
                        <w:pPr>
                          <w:rPr>
                            <w:sz w:val="16"/>
                            <w:szCs w:val="16"/>
                          </w:rPr>
                        </w:pPr>
                        <w:r w:rsidRPr="0098147B">
                          <w:rPr>
                            <w:sz w:val="16"/>
                            <w:szCs w:val="16"/>
                          </w:rPr>
                          <w:t>Pályázati Útmutató szerinti támogatási mértékkel kell számolni</w:t>
                        </w:r>
                      </w:p>
                      <w:p w:rsidR="00657272" w:rsidRPr="0098147B" w:rsidRDefault="00657272" w:rsidP="00221929">
                        <w:pPr>
                          <w:rPr>
                            <w:sz w:val="16"/>
                            <w:szCs w:val="16"/>
                          </w:rPr>
                        </w:pPr>
                      </w:p>
                    </w:txbxContent>
                  </v:textbox>
                </v:shape>
                <w10:anchorlock/>
              </v:group>
            </w:pict>
          </mc:Fallback>
        </mc:AlternateContent>
      </w:r>
    </w:p>
    <w:p w:rsidR="00F9781F" w:rsidRPr="00D40DC4" w:rsidRDefault="0009425F" w:rsidP="0009425F">
      <w:pPr>
        <w:rPr>
          <w:sz w:val="19"/>
          <w:szCs w:val="19"/>
        </w:rPr>
      </w:pPr>
      <w:r w:rsidRPr="00D40DC4">
        <w:rPr>
          <w:rFonts w:cs="Arial"/>
          <w:noProof/>
        </w:rPr>
        <w:t>*</w:t>
      </w:r>
      <w:r w:rsidR="001C446C" w:rsidRPr="00D40DC4">
        <w:rPr>
          <w:sz w:val="19"/>
          <w:szCs w:val="19"/>
        </w:rPr>
        <w:t xml:space="preserve"> A művelet diszkontált nettó bevételét a diszkontált költségeknek a diszkontált bevételekből történő levonásával, és adott esetben a beruházás maradványértékének hozzáadásával kell kiszámítani.</w:t>
      </w:r>
      <w:r w:rsidR="00FE28E6" w:rsidRPr="00D40DC4">
        <w:rPr>
          <w:sz w:val="19"/>
          <w:szCs w:val="19"/>
        </w:rPr>
        <w:t xml:space="preserve"> A</w:t>
      </w:r>
      <w:r w:rsidR="001C446C" w:rsidRPr="00D40DC4">
        <w:rPr>
          <w:sz w:val="19"/>
          <w:szCs w:val="19"/>
        </w:rPr>
        <w:t xml:space="preserve"> </w:t>
      </w:r>
      <w:r w:rsidR="00FE28E6" w:rsidRPr="00D40DC4">
        <w:rPr>
          <w:sz w:val="19"/>
          <w:szCs w:val="19"/>
        </w:rPr>
        <w:t>beruházás maradványértékét a művelet diszkontált nettó bevételébe csak akkor számítják bele, ha a bevételek meghaladják az üzemeltetési, karbantartási és pótlási költségeket.</w:t>
      </w:r>
      <w:r w:rsidR="00BC29A7" w:rsidRPr="00D40DC4">
        <w:rPr>
          <w:sz w:val="19"/>
          <w:szCs w:val="19"/>
        </w:rPr>
        <w:t xml:space="preserve"> A félreértések elkerülése érdekében jelölésben ezt megkülönböztetjük: DNOR a maradványérték nélkül, a DNR a maradványértékkel együtt számított értéket jelenti.</w:t>
      </w:r>
    </w:p>
    <w:p w:rsidR="00BC29A7" w:rsidRPr="00D40DC4" w:rsidRDefault="00BC29A7" w:rsidP="00BC29A7">
      <w:pPr>
        <w:rPr>
          <w:sz w:val="19"/>
          <w:szCs w:val="19"/>
        </w:rPr>
      </w:pPr>
      <w:r w:rsidRPr="00D40DC4">
        <w:rPr>
          <w:sz w:val="19"/>
          <w:szCs w:val="19"/>
        </w:rPr>
        <w:t xml:space="preserve">Diszkontált nettó bevétel maradványérték nélkül: </w:t>
      </w:r>
      <w:r w:rsidRPr="00D40DC4">
        <w:rPr>
          <w:b/>
          <w:sz w:val="19"/>
          <w:szCs w:val="19"/>
        </w:rPr>
        <w:t>DNOR = a-b-c</w:t>
      </w:r>
    </w:p>
    <w:p w:rsidR="00F9781F" w:rsidRPr="00D40DC4" w:rsidRDefault="00F9781F" w:rsidP="00F9781F">
      <w:pPr>
        <w:rPr>
          <w:sz w:val="19"/>
          <w:szCs w:val="19"/>
        </w:rPr>
      </w:pPr>
      <w:r w:rsidRPr="00D40DC4">
        <w:rPr>
          <w:sz w:val="19"/>
          <w:szCs w:val="19"/>
        </w:rPr>
        <w:t xml:space="preserve">Diszkontált nettó bevétel </w:t>
      </w:r>
      <w:r w:rsidR="00BC29A7" w:rsidRPr="00D40DC4">
        <w:rPr>
          <w:sz w:val="19"/>
          <w:szCs w:val="19"/>
        </w:rPr>
        <w:t>maradványértékkel</w:t>
      </w:r>
      <w:r w:rsidRPr="00D40DC4">
        <w:rPr>
          <w:sz w:val="19"/>
          <w:szCs w:val="19"/>
        </w:rPr>
        <w:t xml:space="preserve">: </w:t>
      </w:r>
      <w:r w:rsidRPr="00D40DC4">
        <w:rPr>
          <w:b/>
          <w:sz w:val="19"/>
          <w:szCs w:val="19"/>
        </w:rPr>
        <w:t>DNR = a-b-c+d</w:t>
      </w:r>
    </w:p>
    <w:p w:rsidR="00F9781F" w:rsidRPr="00D40DC4" w:rsidRDefault="00F9781F" w:rsidP="00971400">
      <w:pPr>
        <w:ind w:left="708"/>
        <w:rPr>
          <w:sz w:val="19"/>
          <w:szCs w:val="19"/>
        </w:rPr>
      </w:pPr>
      <w:r w:rsidRPr="00D40DC4">
        <w:rPr>
          <w:sz w:val="19"/>
          <w:szCs w:val="19"/>
        </w:rPr>
        <w:t>Diszkontált pénzügyi bevétel (a)</w:t>
      </w:r>
    </w:p>
    <w:p w:rsidR="00F9781F" w:rsidRPr="00D40DC4" w:rsidRDefault="00F9781F" w:rsidP="00971400">
      <w:pPr>
        <w:ind w:left="708"/>
        <w:rPr>
          <w:sz w:val="19"/>
          <w:szCs w:val="19"/>
        </w:rPr>
      </w:pPr>
      <w:r w:rsidRPr="00D40DC4">
        <w:rPr>
          <w:sz w:val="19"/>
          <w:szCs w:val="19"/>
        </w:rPr>
        <w:t>Diszkontált üzemeltetési és karbantartási költség (b)</w:t>
      </w:r>
    </w:p>
    <w:p w:rsidR="00F9781F" w:rsidRPr="00D40DC4" w:rsidRDefault="00F9781F" w:rsidP="00971400">
      <w:pPr>
        <w:ind w:left="708"/>
        <w:rPr>
          <w:sz w:val="19"/>
          <w:szCs w:val="19"/>
        </w:rPr>
      </w:pPr>
      <w:r w:rsidRPr="00D40DC4">
        <w:rPr>
          <w:sz w:val="19"/>
          <w:szCs w:val="19"/>
        </w:rPr>
        <w:t>Diszkontált pótlási költség (c)</w:t>
      </w:r>
    </w:p>
    <w:p w:rsidR="00F9781F" w:rsidRPr="00D40DC4" w:rsidRDefault="00F9781F" w:rsidP="00971400">
      <w:pPr>
        <w:ind w:left="708"/>
        <w:rPr>
          <w:sz w:val="19"/>
          <w:szCs w:val="19"/>
        </w:rPr>
      </w:pPr>
      <w:r w:rsidRPr="00D40DC4">
        <w:rPr>
          <w:sz w:val="19"/>
          <w:szCs w:val="19"/>
        </w:rPr>
        <w:t>Diszkontált maradványérték (d)</w:t>
      </w:r>
    </w:p>
    <w:p w:rsidR="00322396" w:rsidRPr="00D40DC4" w:rsidRDefault="00322396" w:rsidP="00221929">
      <w:pPr>
        <w:rPr>
          <w:rFonts w:cs="Arial"/>
        </w:rPr>
      </w:pPr>
      <w:r w:rsidRPr="00D40DC4">
        <w:rPr>
          <w:rFonts w:cs="Arial"/>
        </w:rPr>
        <w:t>A Pályázati Útmutat</w:t>
      </w:r>
      <w:r w:rsidR="00946AB4" w:rsidRPr="00D40DC4">
        <w:rPr>
          <w:rFonts w:cs="Arial"/>
        </w:rPr>
        <w:t xml:space="preserve">ó rendelkezik arról, hogy mely </w:t>
      </w:r>
      <w:r w:rsidRPr="00D40DC4">
        <w:rPr>
          <w:rFonts w:cs="Arial"/>
        </w:rPr>
        <w:t xml:space="preserve">tevékenységek támogatása esik az állami támogatás hatálya alá, milyen jogcímen engedélyezett a támogatás és mekkora a támogatás mértéke, ezért az igényelhető támogatás kiszámításakor az adott tevékenységre (komponensre) meghatározott mértékkel kell számolni. </w:t>
      </w:r>
    </w:p>
    <w:p w:rsidR="00322396" w:rsidRPr="00D40DC4" w:rsidRDefault="00322396" w:rsidP="00221929">
      <w:pPr>
        <w:rPr>
          <w:rFonts w:cs="Arial"/>
          <w:noProof/>
        </w:rPr>
      </w:pPr>
      <w:r w:rsidRPr="00D40DC4">
        <w:rPr>
          <w:rFonts w:cs="Arial"/>
        </w:rPr>
        <w:t xml:space="preserve">Az elemzés részletezettségét </w:t>
      </w:r>
      <w:r w:rsidR="00013A45" w:rsidRPr="00D40DC4">
        <w:rPr>
          <w:rFonts w:cs="Arial"/>
        </w:rPr>
        <w:t>a projekt mérete, a támogatási szabály illetve a nettó bevételtermelő képessége határozza meg</w:t>
      </w:r>
      <w:r w:rsidRPr="00D40DC4">
        <w:rPr>
          <w:rFonts w:cs="Arial"/>
          <w:noProof/>
        </w:rPr>
        <w:t>.</w:t>
      </w:r>
      <w:r w:rsidR="00013A45" w:rsidRPr="00D40DC4">
        <w:rPr>
          <w:rFonts w:cs="Arial"/>
          <w:noProof/>
        </w:rPr>
        <w:t xml:space="preserve"> Egyes esetekben szükséges annak ismerete is, hogy a projekt megvalósításában/üzemeltetésében részt ves-e a magánberuházó.</w:t>
      </w:r>
    </w:p>
    <w:p w:rsidR="00322396" w:rsidRPr="00D40DC4" w:rsidRDefault="00322396" w:rsidP="00DD7E6C">
      <w:pPr>
        <w:pStyle w:val="Cmsor2"/>
      </w:pPr>
      <w:bookmarkStart w:id="431" w:name="_Toc177825047"/>
      <w:bookmarkStart w:id="432" w:name="_Toc241657520"/>
      <w:bookmarkStart w:id="433" w:name="_Toc228260742"/>
      <w:bookmarkStart w:id="434" w:name="_Toc436923894"/>
      <w:r w:rsidRPr="00D40DC4">
        <w:lastRenderedPageBreak/>
        <w:t>A pénzügyi elemzés célja</w:t>
      </w:r>
      <w:bookmarkEnd w:id="431"/>
      <w:bookmarkEnd w:id="432"/>
      <w:bookmarkEnd w:id="433"/>
      <w:bookmarkEnd w:id="434"/>
    </w:p>
    <w:p w:rsidR="00322396" w:rsidRPr="00D40DC4" w:rsidRDefault="00322396" w:rsidP="005A76C2">
      <w:pPr>
        <w:pStyle w:val="Cmsor4"/>
      </w:pPr>
      <w:r w:rsidRPr="00D40DC4">
        <w:t>Az elemzés céljai</w:t>
      </w:r>
    </w:p>
    <w:p w:rsidR="00322396" w:rsidRPr="00D40DC4" w:rsidRDefault="00322396" w:rsidP="00221929">
      <w:pPr>
        <w:rPr>
          <w:rFonts w:cs="Arial"/>
        </w:rPr>
      </w:pPr>
      <w:r w:rsidRPr="00D40DC4">
        <w:rPr>
          <w:rFonts w:cs="Arial"/>
        </w:rPr>
        <w:t xml:space="preserve">A pénzügyi elemzés célja, hogy a kiválasztott változatra vonatkozóan a projekt cash-flowjának becslésével kiszámításra kerüljenek a projekt pénzügyi teljesítmény mutatói (FNPV: pénzügyi nettó jelenérték, FRR: pénzügyi belső megtérülési ráta) </w:t>
      </w:r>
    </w:p>
    <w:p w:rsidR="00322396" w:rsidRPr="00D40DC4" w:rsidRDefault="00322396" w:rsidP="00221929">
      <w:pPr>
        <w:rPr>
          <w:rFonts w:cs="Arial"/>
        </w:rPr>
      </w:pPr>
      <w:r w:rsidRPr="00D40DC4">
        <w:rPr>
          <w:rFonts w:cs="Arial"/>
        </w:rPr>
        <w:t xml:space="preserve">A pénzügyi elemzésben kerül </w:t>
      </w:r>
      <w:r w:rsidR="00013A45" w:rsidRPr="00D40DC4">
        <w:rPr>
          <w:rFonts w:cs="Arial"/>
        </w:rPr>
        <w:t xml:space="preserve">bemutatásra </w:t>
      </w:r>
      <w:r w:rsidRPr="00D40DC4">
        <w:rPr>
          <w:rFonts w:cs="Arial"/>
        </w:rPr>
        <w:t xml:space="preserve">továbbá a projekt pénzügyi fenntarthatósága, ami annak vizsgálatát jelenti, hogy az elemzési időszakban elegendő pénzügyi forrás áll-e rendelkezésre, hogy a fejlesztés által elért szolgáltatási színvonalat fenn lehessen tartani. </w:t>
      </w:r>
    </w:p>
    <w:p w:rsidR="00322396" w:rsidRPr="00D40DC4" w:rsidRDefault="00322396" w:rsidP="00221929">
      <w:pPr>
        <w:rPr>
          <w:rFonts w:cs="Arial"/>
        </w:rPr>
      </w:pPr>
      <w:r w:rsidRPr="00D40DC4">
        <w:rPr>
          <w:rFonts w:cs="Arial"/>
        </w:rPr>
        <w:t xml:space="preserve">A pénzügyi elemzés gyakorlatilag a beruházás pénzáramait bemutató táblázatok összeállításából áll, beleértve a beruházási költségeket, a működési költségeket (üzemeltetés, fenntartás, pótlás), a bevételeket, a finanszírozás forrásait és a </w:t>
      </w:r>
      <w:r w:rsidR="00720747" w:rsidRPr="00D40DC4">
        <w:rPr>
          <w:rFonts w:cs="Arial"/>
        </w:rPr>
        <w:t xml:space="preserve">halmozott </w:t>
      </w:r>
      <w:r w:rsidRPr="00D40DC4">
        <w:rPr>
          <w:rFonts w:cs="Arial"/>
        </w:rPr>
        <w:t xml:space="preserve">nettó pénzáramot. </w:t>
      </w:r>
      <w:r w:rsidR="00720747" w:rsidRPr="00D40DC4">
        <w:rPr>
          <w:rFonts w:cs="Arial"/>
        </w:rPr>
        <w:t xml:space="preserve">A pénzáramokat be kell mutatni mind a projekt nélküli, mind a projekt megvalósulása esetén külön-külön, illetve a </w:t>
      </w:r>
      <w:r w:rsidR="00905B20" w:rsidRPr="00D40DC4">
        <w:rPr>
          <w:rFonts w:cs="Arial"/>
        </w:rPr>
        <w:t>különbözet</w:t>
      </w:r>
      <w:r w:rsidR="00720747" w:rsidRPr="00D40DC4">
        <w:rPr>
          <w:rFonts w:cs="Arial"/>
        </w:rPr>
        <w:t>et is.</w:t>
      </w:r>
    </w:p>
    <w:p w:rsidR="00322396" w:rsidRPr="00D40DC4" w:rsidRDefault="00322396" w:rsidP="005A76C2">
      <w:pPr>
        <w:pStyle w:val="Cmsor4"/>
      </w:pPr>
      <w:r w:rsidRPr="00D40DC4">
        <w:t xml:space="preserve">A megtérülési számítást </w:t>
      </w:r>
      <w:r w:rsidR="00A518DD" w:rsidRPr="00D40DC4">
        <w:t>két változatra kell elkészíteni</w:t>
      </w:r>
    </w:p>
    <w:p w:rsidR="00322396" w:rsidRPr="00D40DC4" w:rsidRDefault="00322396" w:rsidP="006C5A6D">
      <w:pPr>
        <w:numPr>
          <w:ilvl w:val="0"/>
          <w:numId w:val="32"/>
        </w:numPr>
      </w:pPr>
      <w:r w:rsidRPr="00D40DC4">
        <w:t>A teljes beruházási költség megtérülése</w:t>
      </w:r>
      <w:r w:rsidR="00013A45" w:rsidRPr="00D40DC4">
        <w:t xml:space="preserve"> (FNPV(C))</w:t>
      </w:r>
      <w:r w:rsidRPr="00D40DC4">
        <w:t>: A finanszírozási hiány számítása is ennek figyelembe vételével készül.</w:t>
      </w:r>
    </w:p>
    <w:p w:rsidR="00322396" w:rsidRPr="00D40DC4" w:rsidRDefault="00946AB4" w:rsidP="006C5A6D">
      <w:pPr>
        <w:numPr>
          <w:ilvl w:val="0"/>
          <w:numId w:val="32"/>
        </w:numPr>
      </w:pPr>
      <w:r w:rsidRPr="00D40DC4">
        <w:t xml:space="preserve">A befektetett tőke </w:t>
      </w:r>
      <w:r w:rsidR="00322396" w:rsidRPr="00D40DC4">
        <w:t xml:space="preserve">megtérülése </w:t>
      </w:r>
      <w:r w:rsidR="00013A45" w:rsidRPr="00D40DC4">
        <w:t>(</w:t>
      </w:r>
      <w:r w:rsidR="00322396" w:rsidRPr="00D40DC4">
        <w:t>FNPV(K)</w:t>
      </w:r>
      <w:r w:rsidR="00013A45" w:rsidRPr="00D40DC4">
        <w:t>):</w:t>
      </w:r>
      <w:r w:rsidR="00322396" w:rsidRPr="00D40DC4">
        <w:t xml:space="preserve"> A másik megtérülés számítás az EU támogatással és a hitellel csökkentett beruházási költségre, azaz a befektetett tőkére vonatkozik, amikor a pénzügyi bevételeket a működésből származó bevétel és a maradványérték jelenti, míg a kiadási oldalon a nemzeti hozzájárulás, a hiteltörlesztés, a kamatfizetés és a működési költségek jelentkeznek. </w:t>
      </w:r>
    </w:p>
    <w:p w:rsidR="00322396" w:rsidRPr="00D40DC4" w:rsidRDefault="00322396" w:rsidP="00221929">
      <w:pPr>
        <w:rPr>
          <w:rFonts w:cs="Arial"/>
        </w:rPr>
      </w:pPr>
      <w:r w:rsidRPr="00D40DC4">
        <w:rPr>
          <w:rFonts w:cs="Arial"/>
        </w:rPr>
        <w:t xml:space="preserve">A pénzügyi elemzés fontos eleme a projekt finanszírozási hiányának a kiszámítása, ami azt mutatja meg, hogy a beruházás mekkora hányada nem fedezhető - a pénzügyi diszkontráta által meghatározott megtérüléssel - a projekt jövőbeli nettó bevételeiből. </w:t>
      </w:r>
    </w:p>
    <w:p w:rsidR="00322396" w:rsidRPr="00D40DC4" w:rsidRDefault="00322396" w:rsidP="005A76C2">
      <w:pPr>
        <w:pStyle w:val="Cmsor4"/>
      </w:pPr>
      <w:r w:rsidRPr="00D40DC4">
        <w:t>A pénzügyi elemzés részeinek áttekintése</w:t>
      </w:r>
    </w:p>
    <w:p w:rsidR="00322396" w:rsidRPr="00D40DC4" w:rsidRDefault="00322396" w:rsidP="00221929">
      <w:pPr>
        <w:rPr>
          <w:rFonts w:cs="Arial"/>
        </w:rPr>
      </w:pPr>
      <w:r w:rsidRPr="00D40DC4">
        <w:rPr>
          <w:rFonts w:cs="Arial"/>
        </w:rPr>
        <w:t>A pénzügyi elemzés egymással összefüggő elemei az alábbiak:</w:t>
      </w:r>
    </w:p>
    <w:p w:rsidR="00322396" w:rsidRPr="00D40DC4" w:rsidRDefault="00322396" w:rsidP="006F2748">
      <w:pPr>
        <w:numPr>
          <w:ilvl w:val="0"/>
          <w:numId w:val="37"/>
        </w:numPr>
      </w:pPr>
      <w:r w:rsidRPr="00D40DC4">
        <w:t>összes beruházási költség</w:t>
      </w:r>
    </w:p>
    <w:p w:rsidR="00322396" w:rsidRPr="00D40DC4" w:rsidRDefault="00322396" w:rsidP="006F2748">
      <w:pPr>
        <w:numPr>
          <w:ilvl w:val="0"/>
          <w:numId w:val="37"/>
        </w:numPr>
      </w:pPr>
      <w:r w:rsidRPr="00D40DC4">
        <w:t>összes működési költség és bevétel</w:t>
      </w:r>
    </w:p>
    <w:p w:rsidR="00322396" w:rsidRPr="00D40DC4" w:rsidRDefault="00322396" w:rsidP="006F2748">
      <w:pPr>
        <w:numPr>
          <w:ilvl w:val="0"/>
          <w:numId w:val="37"/>
        </w:numPr>
      </w:pPr>
      <w:r w:rsidRPr="00D40DC4">
        <w:t>beruházás</w:t>
      </w:r>
      <w:r w:rsidR="00946AB4" w:rsidRPr="00D40DC4">
        <w:t>i költség pénzügyi</w:t>
      </w:r>
      <w:r w:rsidRPr="00D40DC4">
        <w:t xml:space="preserve"> megtérülése: FNPV (C) és FRR (C)</w:t>
      </w:r>
    </w:p>
    <w:p w:rsidR="00322396" w:rsidRPr="00D40DC4" w:rsidRDefault="00322396" w:rsidP="006F2748">
      <w:pPr>
        <w:numPr>
          <w:ilvl w:val="0"/>
          <w:numId w:val="37"/>
        </w:numPr>
      </w:pPr>
      <w:r w:rsidRPr="00D40DC4">
        <w:t>finanszírozási források</w:t>
      </w:r>
    </w:p>
    <w:p w:rsidR="00322396" w:rsidRPr="00D40DC4" w:rsidRDefault="00322396" w:rsidP="006F2748">
      <w:pPr>
        <w:numPr>
          <w:ilvl w:val="0"/>
          <w:numId w:val="37"/>
        </w:numPr>
      </w:pPr>
      <w:r w:rsidRPr="00D40DC4">
        <w:t>pénzügyi fenntarthatóság</w:t>
      </w:r>
    </w:p>
    <w:p w:rsidR="00322396" w:rsidRPr="00D40DC4" w:rsidDel="00013A45" w:rsidRDefault="00946AB4" w:rsidP="006F2748">
      <w:pPr>
        <w:numPr>
          <w:ilvl w:val="0"/>
          <w:numId w:val="37"/>
        </w:numPr>
      </w:pPr>
      <w:r w:rsidRPr="00D40DC4" w:rsidDel="00013A45">
        <w:t xml:space="preserve">tőke pénzügyi </w:t>
      </w:r>
      <w:r w:rsidR="00322396" w:rsidRPr="00D40DC4" w:rsidDel="00013A45">
        <w:t>megtérülése: FNPV (K) és FRR (K)</w:t>
      </w:r>
    </w:p>
    <w:p w:rsidR="00322396" w:rsidRPr="00D40DC4" w:rsidRDefault="00322396" w:rsidP="00221929">
      <w:pPr>
        <w:rPr>
          <w:rFonts w:cs="Arial"/>
        </w:rPr>
      </w:pPr>
      <w:r w:rsidRPr="00D40DC4">
        <w:rPr>
          <w:rFonts w:cs="Arial"/>
        </w:rPr>
        <w:t xml:space="preserve">Az egyes célokhoz kapcsolódó pénzügyi elemzési részekben a különféle pénzáramokat a következők szerint kell figyelembe venni. A táblázatban a (+) előjellel jelölt elemek pénzbeáramlást, a (-) előjellel jelölt elemek pénzkiáramlást jelentenek. Ha az adott tételnél nem szerepel </w:t>
      </w:r>
      <w:r w:rsidR="00946AB4" w:rsidRPr="00D40DC4">
        <w:rPr>
          <w:rFonts w:cs="Arial"/>
        </w:rPr>
        <w:t xml:space="preserve">szöveg olvasható, akkor az azt </w:t>
      </w:r>
      <w:r w:rsidRPr="00D40DC4">
        <w:rPr>
          <w:rFonts w:cs="Arial"/>
        </w:rPr>
        <w:t>jelenti, hogy azt a tételt az adott mutató kiszámítását szolgáló cash flow-ban nem kell figyelembe venni. Például a nemzeti magántőkét nem kell figyelembe venni az FNPV (C) illetve a DNR számításánál, míg az FNPV (K) számításánál kiadási pénzáramnak és a pénzügyi fenntarthatóság számításnál pedig bevételi pénzáramnak minősül.</w:t>
      </w:r>
    </w:p>
    <w:p w:rsidR="00322396" w:rsidRPr="00D40DC4" w:rsidRDefault="002C4DE0" w:rsidP="002314F2">
      <w:pPr>
        <w:pStyle w:val="Tblzat"/>
      </w:pPr>
      <w:r>
        <w:fldChar w:fldCharType="begin"/>
      </w:r>
      <w:r>
        <w:instrText xml:space="preserve"> SEQ táblázat \* ARABIC </w:instrText>
      </w:r>
      <w:r>
        <w:fldChar w:fldCharType="separate"/>
      </w:r>
      <w:bookmarkStart w:id="435" w:name="_Toc436923938"/>
      <w:r w:rsidR="007B4938" w:rsidRPr="00D40DC4">
        <w:rPr>
          <w:noProof/>
        </w:rPr>
        <w:t>5</w:t>
      </w:r>
      <w:r>
        <w:rPr>
          <w:noProof/>
        </w:rPr>
        <w:fldChar w:fldCharType="end"/>
      </w:r>
      <w:r w:rsidR="00322396" w:rsidRPr="00D40DC4">
        <w:t>. táblázat: A pénzügyi elemzés áttekintése</w:t>
      </w:r>
      <w:bookmarkEnd w:id="4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1559"/>
        <w:gridCol w:w="1559"/>
        <w:gridCol w:w="1770"/>
        <w:gridCol w:w="1676"/>
      </w:tblGrid>
      <w:tr w:rsidR="00322396" w:rsidRPr="00D40DC4" w:rsidTr="00971400">
        <w:trPr>
          <w:tblHeader/>
        </w:trPr>
        <w:tc>
          <w:tcPr>
            <w:tcW w:w="1467" w:type="pct"/>
            <w:shd w:val="clear" w:color="auto" w:fill="99CCFF"/>
            <w:vAlign w:val="center"/>
          </w:tcPr>
          <w:p w:rsidR="00322396" w:rsidRPr="00D40DC4" w:rsidRDefault="00322396" w:rsidP="00946AB4">
            <w:pPr>
              <w:spacing w:after="0"/>
              <w:jc w:val="center"/>
              <w:rPr>
                <w:rFonts w:cs="Arial"/>
                <w:b/>
                <w:szCs w:val="20"/>
              </w:rPr>
            </w:pPr>
          </w:p>
        </w:tc>
        <w:tc>
          <w:tcPr>
            <w:tcW w:w="839" w:type="pct"/>
            <w:shd w:val="clear" w:color="auto" w:fill="99CCFF"/>
            <w:vAlign w:val="center"/>
          </w:tcPr>
          <w:p w:rsidR="00322396" w:rsidRPr="00D40DC4" w:rsidRDefault="00322396" w:rsidP="00946AB4">
            <w:pPr>
              <w:spacing w:after="0"/>
              <w:jc w:val="center"/>
              <w:rPr>
                <w:rFonts w:cs="Arial"/>
                <w:b/>
                <w:szCs w:val="20"/>
              </w:rPr>
            </w:pPr>
            <w:r w:rsidRPr="00D40DC4">
              <w:rPr>
                <w:rFonts w:cs="Arial"/>
                <w:b/>
                <w:szCs w:val="20"/>
              </w:rPr>
              <w:t>FNPV(C)</w:t>
            </w:r>
          </w:p>
        </w:tc>
        <w:tc>
          <w:tcPr>
            <w:tcW w:w="839" w:type="pct"/>
            <w:shd w:val="clear" w:color="auto" w:fill="99CCFF"/>
            <w:vAlign w:val="center"/>
          </w:tcPr>
          <w:p w:rsidR="00322396" w:rsidRPr="00D40DC4" w:rsidRDefault="00322396" w:rsidP="00946AB4">
            <w:pPr>
              <w:spacing w:after="0"/>
              <w:jc w:val="center"/>
              <w:rPr>
                <w:rFonts w:cs="Arial"/>
                <w:b/>
                <w:szCs w:val="20"/>
              </w:rPr>
            </w:pPr>
            <w:r w:rsidRPr="00D40DC4">
              <w:rPr>
                <w:rFonts w:cs="Arial"/>
                <w:b/>
                <w:szCs w:val="20"/>
              </w:rPr>
              <w:t>FNPV(K)</w:t>
            </w:r>
          </w:p>
        </w:tc>
        <w:tc>
          <w:tcPr>
            <w:tcW w:w="953" w:type="pct"/>
            <w:shd w:val="clear" w:color="auto" w:fill="99CCFF"/>
            <w:vAlign w:val="center"/>
          </w:tcPr>
          <w:p w:rsidR="00322396" w:rsidRPr="00D40DC4" w:rsidRDefault="00322396" w:rsidP="00946AB4">
            <w:pPr>
              <w:spacing w:after="0"/>
              <w:jc w:val="center"/>
              <w:rPr>
                <w:rFonts w:cs="Arial"/>
                <w:b/>
                <w:szCs w:val="20"/>
              </w:rPr>
            </w:pPr>
            <w:r w:rsidRPr="00D40DC4">
              <w:rPr>
                <w:rFonts w:cs="Arial"/>
                <w:b/>
                <w:szCs w:val="20"/>
              </w:rPr>
              <w:t>Pénzügyi fenntarthatóság</w:t>
            </w:r>
          </w:p>
        </w:tc>
        <w:tc>
          <w:tcPr>
            <w:tcW w:w="902" w:type="pct"/>
            <w:shd w:val="clear" w:color="auto" w:fill="99CCFF"/>
            <w:vAlign w:val="center"/>
          </w:tcPr>
          <w:p w:rsidR="00322396" w:rsidRPr="00D40DC4" w:rsidRDefault="00322396" w:rsidP="00946AB4">
            <w:pPr>
              <w:spacing w:after="0"/>
              <w:jc w:val="center"/>
              <w:rPr>
                <w:rFonts w:cs="Arial"/>
                <w:b/>
                <w:szCs w:val="20"/>
              </w:rPr>
            </w:pPr>
            <w:r w:rsidRPr="00D40DC4">
              <w:rPr>
                <w:rFonts w:cs="Arial"/>
                <w:b/>
                <w:szCs w:val="20"/>
              </w:rPr>
              <w:t>DNR</w:t>
            </w:r>
          </w:p>
        </w:tc>
      </w:tr>
      <w:tr w:rsidR="00C3639C" w:rsidRPr="00D40DC4" w:rsidTr="00706C65">
        <w:tc>
          <w:tcPr>
            <w:tcW w:w="1467"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Összes beruházási költség</w:t>
            </w:r>
          </w:p>
        </w:tc>
        <w:tc>
          <w:tcPr>
            <w:tcW w:w="839"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w:t>
            </w:r>
          </w:p>
        </w:tc>
        <w:tc>
          <w:tcPr>
            <w:tcW w:w="839" w:type="pct"/>
            <w:shd w:val="clear" w:color="auto" w:fill="DEEAF6" w:themeFill="accent1" w:themeFillTint="33"/>
          </w:tcPr>
          <w:p w:rsidR="00C3639C" w:rsidRPr="00D40DC4" w:rsidRDefault="00C3639C" w:rsidP="00C3639C">
            <w:pPr>
              <w:spacing w:after="0"/>
              <w:rPr>
                <w:rFonts w:cs="Arial"/>
                <w:b/>
                <w:szCs w:val="20"/>
              </w:rPr>
            </w:pPr>
            <w:r w:rsidRPr="00D40DC4">
              <w:rPr>
                <w:rFonts w:cs="Arial"/>
                <w:szCs w:val="20"/>
              </w:rPr>
              <w:t>nem szerepel</w:t>
            </w:r>
          </w:p>
        </w:tc>
        <w:tc>
          <w:tcPr>
            <w:tcW w:w="953"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w:t>
            </w:r>
          </w:p>
        </w:tc>
        <w:tc>
          <w:tcPr>
            <w:tcW w:w="902"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Földvásárlás</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Építés</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Gépek és gépi berendezések</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Licenc</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Szabadalom</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 xml:space="preserve">Egyéb előkészítési </w:t>
            </w:r>
            <w:r w:rsidRPr="00D40DC4">
              <w:rPr>
                <w:rFonts w:cs="Arial"/>
                <w:szCs w:val="20"/>
              </w:rPr>
              <w:lastRenderedPageBreak/>
              <w:t>költségek</w:t>
            </w:r>
          </w:p>
        </w:tc>
        <w:tc>
          <w:tcPr>
            <w:tcW w:w="839" w:type="pct"/>
          </w:tcPr>
          <w:p w:rsidR="00C3639C" w:rsidRPr="00D40DC4" w:rsidRDefault="00C3639C" w:rsidP="00C3639C">
            <w:pPr>
              <w:spacing w:after="0"/>
              <w:rPr>
                <w:rFonts w:cs="Arial"/>
                <w:szCs w:val="20"/>
              </w:rPr>
            </w:pPr>
            <w:r w:rsidRPr="00D40DC4">
              <w:rPr>
                <w:rFonts w:cs="Arial"/>
                <w:szCs w:val="20"/>
              </w:rPr>
              <w:lastRenderedPageBreak/>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rPr>
          <w:trHeight w:val="127"/>
        </w:trPr>
        <w:tc>
          <w:tcPr>
            <w:tcW w:w="1467" w:type="pct"/>
          </w:tcPr>
          <w:p w:rsidR="00C3639C" w:rsidRPr="00D40DC4" w:rsidRDefault="00C3639C" w:rsidP="00C3639C">
            <w:pPr>
              <w:spacing w:after="0"/>
              <w:rPr>
                <w:rFonts w:cs="Arial"/>
                <w:szCs w:val="20"/>
              </w:rPr>
            </w:pPr>
            <w:r w:rsidRPr="00D40DC4">
              <w:rPr>
                <w:rFonts w:cs="Arial"/>
                <w:szCs w:val="20"/>
              </w:rPr>
              <w:t>Működő tőke változás**</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rPr>
          <w:trHeight w:val="854"/>
        </w:trPr>
        <w:tc>
          <w:tcPr>
            <w:tcW w:w="1467" w:type="pct"/>
          </w:tcPr>
          <w:p w:rsidR="00C3639C" w:rsidRPr="00D40DC4" w:rsidRDefault="00C3639C" w:rsidP="00C3639C">
            <w:pPr>
              <w:spacing w:after="0"/>
              <w:rPr>
                <w:rFonts w:cs="Arial"/>
                <w:szCs w:val="20"/>
              </w:rPr>
            </w:pPr>
            <w:r w:rsidRPr="00D40DC4">
              <w:rPr>
                <w:rFonts w:cs="Arial"/>
                <w:szCs w:val="20"/>
              </w:rPr>
              <w:t xml:space="preserve">Maradványérték* </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w:t>
            </w:r>
          </w:p>
        </w:tc>
        <w:tc>
          <w:tcPr>
            <w:tcW w:w="953" w:type="pct"/>
          </w:tcPr>
          <w:p w:rsidR="00C3639C" w:rsidRPr="00D40DC4" w:rsidRDefault="00C3639C" w:rsidP="00C3639C">
            <w:pPr>
              <w:spacing w:after="0"/>
              <w:rPr>
                <w:rFonts w:cs="Arial"/>
                <w:b/>
                <w:szCs w:val="20"/>
              </w:rPr>
            </w:pPr>
            <w:r w:rsidRPr="00D40DC4">
              <w:rPr>
                <w:rFonts w:cs="Arial"/>
                <w:szCs w:val="20"/>
              </w:rPr>
              <w:t xml:space="preserve">nem szerepel, kivéve ha pénzügyileg realizálódik </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706C65">
        <w:tc>
          <w:tcPr>
            <w:tcW w:w="1467"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Összes működési költség</w:t>
            </w:r>
          </w:p>
        </w:tc>
        <w:tc>
          <w:tcPr>
            <w:tcW w:w="839" w:type="pct"/>
            <w:shd w:val="clear" w:color="auto" w:fill="DEEAF6" w:themeFill="accent1" w:themeFillTint="33"/>
          </w:tcPr>
          <w:p w:rsidR="00C3639C" w:rsidRPr="00D40DC4" w:rsidRDefault="00C3639C" w:rsidP="00C3639C">
            <w:pPr>
              <w:spacing w:after="0"/>
              <w:rPr>
                <w:rFonts w:cs="Arial"/>
                <w:szCs w:val="20"/>
              </w:rPr>
            </w:pPr>
          </w:p>
        </w:tc>
        <w:tc>
          <w:tcPr>
            <w:tcW w:w="839" w:type="pct"/>
            <w:shd w:val="clear" w:color="auto" w:fill="DEEAF6" w:themeFill="accent1" w:themeFillTint="33"/>
          </w:tcPr>
          <w:p w:rsidR="00C3639C" w:rsidRPr="00D40DC4" w:rsidRDefault="00C3639C" w:rsidP="00C3639C">
            <w:pPr>
              <w:spacing w:after="0"/>
              <w:rPr>
                <w:rFonts w:cs="Arial"/>
                <w:b/>
                <w:szCs w:val="20"/>
              </w:rPr>
            </w:pPr>
          </w:p>
        </w:tc>
        <w:tc>
          <w:tcPr>
            <w:tcW w:w="953" w:type="pct"/>
            <w:shd w:val="clear" w:color="auto" w:fill="DEEAF6" w:themeFill="accent1" w:themeFillTint="33"/>
          </w:tcPr>
          <w:p w:rsidR="00C3639C" w:rsidRPr="00D40DC4" w:rsidRDefault="00C3639C" w:rsidP="00C3639C">
            <w:pPr>
              <w:spacing w:after="0"/>
              <w:rPr>
                <w:rFonts w:cs="Arial"/>
                <w:szCs w:val="20"/>
              </w:rPr>
            </w:pPr>
          </w:p>
        </w:tc>
        <w:tc>
          <w:tcPr>
            <w:tcW w:w="902" w:type="pct"/>
            <w:shd w:val="clear" w:color="auto" w:fill="DEEAF6" w:themeFill="accent1" w:themeFillTint="33"/>
          </w:tcPr>
          <w:p w:rsidR="00C3639C" w:rsidRPr="00D40DC4" w:rsidRDefault="00C3639C" w:rsidP="00C3639C">
            <w:pPr>
              <w:spacing w:after="0"/>
              <w:rPr>
                <w:rFonts w:cs="Arial"/>
                <w:szCs w:val="20"/>
              </w:rPr>
            </w:pP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Anyag</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Munka</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Energia</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Karbantartás</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b/>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Adminisztrációs költségek</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Kamat</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r w:rsidR="00C3639C" w:rsidRPr="00D40DC4" w:rsidTr="00C3639C">
        <w:trPr>
          <w:trHeight w:val="129"/>
        </w:trPr>
        <w:tc>
          <w:tcPr>
            <w:tcW w:w="1467" w:type="pct"/>
          </w:tcPr>
          <w:p w:rsidR="00C3639C" w:rsidRPr="00D40DC4" w:rsidRDefault="00C3639C" w:rsidP="00C3639C">
            <w:pPr>
              <w:spacing w:after="0"/>
              <w:rPr>
                <w:rFonts w:cs="Arial"/>
                <w:szCs w:val="20"/>
              </w:rPr>
            </w:pPr>
            <w:r w:rsidRPr="00D40DC4">
              <w:rPr>
                <w:rFonts w:cs="Arial"/>
                <w:szCs w:val="20"/>
              </w:rPr>
              <w:t>Hiteltörlesztés</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Vissza nem igényelhető adók</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971400">
        <w:tc>
          <w:tcPr>
            <w:tcW w:w="1467" w:type="pct"/>
            <w:shd w:val="clear" w:color="auto" w:fill="DEEAF6" w:themeFill="accent1" w:themeFillTint="33"/>
          </w:tcPr>
          <w:p w:rsidR="00C3639C" w:rsidRPr="00D40DC4" w:rsidRDefault="00C3639C" w:rsidP="00C3639C">
            <w:pPr>
              <w:spacing w:after="0"/>
              <w:rPr>
                <w:rFonts w:cs="Arial"/>
                <w:szCs w:val="20"/>
              </w:rPr>
            </w:pPr>
            <w:r w:rsidRPr="00D40DC4">
              <w:rPr>
                <w:rFonts w:cs="Arial"/>
                <w:szCs w:val="20"/>
              </w:rPr>
              <w:t>Összes működési bevétel</w:t>
            </w:r>
          </w:p>
        </w:tc>
        <w:tc>
          <w:tcPr>
            <w:tcW w:w="839" w:type="pct"/>
            <w:shd w:val="clear" w:color="auto" w:fill="DEEAF6" w:themeFill="accent1" w:themeFillTint="33"/>
          </w:tcPr>
          <w:p w:rsidR="00C3639C" w:rsidRPr="00D40DC4" w:rsidRDefault="00C3639C" w:rsidP="00C3639C">
            <w:pPr>
              <w:spacing w:after="0"/>
              <w:rPr>
                <w:rFonts w:cs="Arial"/>
                <w:szCs w:val="20"/>
              </w:rPr>
            </w:pPr>
          </w:p>
        </w:tc>
        <w:tc>
          <w:tcPr>
            <w:tcW w:w="839" w:type="pct"/>
            <w:shd w:val="clear" w:color="auto" w:fill="DEEAF6" w:themeFill="accent1" w:themeFillTint="33"/>
          </w:tcPr>
          <w:p w:rsidR="00C3639C" w:rsidRPr="00D40DC4" w:rsidRDefault="00C3639C" w:rsidP="00C3639C">
            <w:pPr>
              <w:spacing w:after="0"/>
              <w:rPr>
                <w:rFonts w:cs="Arial"/>
                <w:szCs w:val="20"/>
              </w:rPr>
            </w:pPr>
          </w:p>
        </w:tc>
        <w:tc>
          <w:tcPr>
            <w:tcW w:w="953" w:type="pct"/>
            <w:shd w:val="clear" w:color="auto" w:fill="DEEAF6" w:themeFill="accent1" w:themeFillTint="33"/>
          </w:tcPr>
          <w:p w:rsidR="00C3639C" w:rsidRPr="00D40DC4" w:rsidRDefault="00C3639C" w:rsidP="00C3639C">
            <w:pPr>
              <w:spacing w:after="0"/>
              <w:rPr>
                <w:rFonts w:cs="Arial"/>
                <w:szCs w:val="20"/>
              </w:rPr>
            </w:pPr>
          </w:p>
        </w:tc>
        <w:tc>
          <w:tcPr>
            <w:tcW w:w="902" w:type="pct"/>
            <w:shd w:val="clear" w:color="auto" w:fill="DEEAF6" w:themeFill="accent1" w:themeFillTint="33"/>
          </w:tcPr>
          <w:p w:rsidR="00C3639C" w:rsidRPr="00D40DC4" w:rsidRDefault="00C3639C" w:rsidP="00C3639C">
            <w:pPr>
              <w:spacing w:after="0"/>
              <w:rPr>
                <w:rFonts w:cs="Arial"/>
                <w:szCs w:val="20"/>
              </w:rPr>
            </w:pP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Output X</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Output Y</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szCs w:val="20"/>
              </w:rPr>
            </w:pPr>
            <w:r w:rsidRPr="00D40DC4">
              <w:rPr>
                <w:rFonts w:cs="Arial"/>
                <w:szCs w:val="20"/>
              </w:rPr>
              <w:t>+</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Finanszírozási forrás</w:t>
            </w:r>
          </w:p>
        </w:tc>
        <w:tc>
          <w:tcPr>
            <w:tcW w:w="839" w:type="pct"/>
          </w:tcPr>
          <w:p w:rsidR="00C3639C" w:rsidRPr="00D40DC4" w:rsidRDefault="00C3639C" w:rsidP="00C3639C">
            <w:pPr>
              <w:spacing w:after="0"/>
              <w:rPr>
                <w:rFonts w:cs="Arial"/>
                <w:szCs w:val="20"/>
              </w:rPr>
            </w:pPr>
          </w:p>
        </w:tc>
        <w:tc>
          <w:tcPr>
            <w:tcW w:w="839" w:type="pct"/>
          </w:tcPr>
          <w:p w:rsidR="00C3639C" w:rsidRPr="00D40DC4" w:rsidRDefault="00C3639C" w:rsidP="00C3639C">
            <w:pPr>
              <w:spacing w:after="0"/>
              <w:rPr>
                <w:rFonts w:cs="Arial"/>
                <w:szCs w:val="20"/>
              </w:rPr>
            </w:pPr>
          </w:p>
        </w:tc>
        <w:tc>
          <w:tcPr>
            <w:tcW w:w="953" w:type="pct"/>
          </w:tcPr>
          <w:p w:rsidR="00C3639C" w:rsidRPr="00D40DC4" w:rsidRDefault="00C3639C" w:rsidP="00C3639C">
            <w:pPr>
              <w:spacing w:after="0"/>
              <w:rPr>
                <w:rFonts w:cs="Arial"/>
                <w:szCs w:val="20"/>
              </w:rPr>
            </w:pPr>
          </w:p>
        </w:tc>
        <w:tc>
          <w:tcPr>
            <w:tcW w:w="902" w:type="pct"/>
          </w:tcPr>
          <w:p w:rsidR="00C3639C" w:rsidRPr="00D40DC4" w:rsidRDefault="00C3639C" w:rsidP="00C3639C">
            <w:pPr>
              <w:spacing w:after="0"/>
              <w:rPr>
                <w:rFonts w:cs="Arial"/>
                <w:szCs w:val="20"/>
              </w:rPr>
            </w:pP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Közösségi hozzájárulás</w:t>
            </w:r>
          </w:p>
        </w:tc>
        <w:tc>
          <w:tcPr>
            <w:tcW w:w="839" w:type="pct"/>
          </w:tcPr>
          <w:p w:rsidR="00C3639C" w:rsidRPr="00D40DC4" w:rsidRDefault="00C3639C" w:rsidP="00C3639C">
            <w:pPr>
              <w:spacing w:after="0"/>
              <w:rPr>
                <w:rFonts w:cs="Arial"/>
                <w:szCs w:val="20"/>
              </w:rPr>
            </w:pPr>
            <w:r w:rsidRPr="00D40DC4">
              <w:rPr>
                <w:rFonts w:cs="Arial"/>
                <w:szCs w:val="20"/>
              </w:rPr>
              <w:t>nem szerepel</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Nemzeti közösségi hozzájárulás</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Nemzeti magán tőke</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szCs w:val="20"/>
              </w:rPr>
            </w:pPr>
            <w:r w:rsidRPr="00D40DC4">
              <w:rPr>
                <w:rFonts w:cs="Arial"/>
                <w:szCs w:val="20"/>
              </w:rPr>
              <w:t>-</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Hitelek</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r w:rsidR="00C3639C" w:rsidRPr="00D40DC4" w:rsidTr="00C3639C">
        <w:tc>
          <w:tcPr>
            <w:tcW w:w="1467" w:type="pct"/>
          </w:tcPr>
          <w:p w:rsidR="00C3639C" w:rsidRPr="00D40DC4" w:rsidRDefault="00C3639C" w:rsidP="00C3639C">
            <w:pPr>
              <w:spacing w:after="0"/>
              <w:rPr>
                <w:rFonts w:cs="Arial"/>
                <w:szCs w:val="20"/>
              </w:rPr>
            </w:pPr>
            <w:r w:rsidRPr="00D40DC4">
              <w:rPr>
                <w:rFonts w:cs="Arial"/>
                <w:szCs w:val="20"/>
              </w:rPr>
              <w:t>Egyéb források (pl.: működési támogatás) )</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839" w:type="pct"/>
          </w:tcPr>
          <w:p w:rsidR="00C3639C" w:rsidRPr="00D40DC4" w:rsidRDefault="00C3639C" w:rsidP="00C3639C">
            <w:pPr>
              <w:spacing w:after="0"/>
              <w:rPr>
                <w:rFonts w:cs="Arial"/>
                <w:b/>
                <w:szCs w:val="20"/>
              </w:rPr>
            </w:pPr>
            <w:r w:rsidRPr="00D40DC4">
              <w:rPr>
                <w:rFonts w:cs="Arial"/>
                <w:szCs w:val="20"/>
              </w:rPr>
              <w:t>nem szerepel</w:t>
            </w:r>
          </w:p>
        </w:tc>
        <w:tc>
          <w:tcPr>
            <w:tcW w:w="953" w:type="pct"/>
          </w:tcPr>
          <w:p w:rsidR="00C3639C" w:rsidRPr="00D40DC4" w:rsidRDefault="00C3639C" w:rsidP="00C3639C">
            <w:pPr>
              <w:spacing w:after="0"/>
              <w:rPr>
                <w:rFonts w:cs="Arial"/>
                <w:szCs w:val="20"/>
              </w:rPr>
            </w:pPr>
            <w:r w:rsidRPr="00D40DC4">
              <w:rPr>
                <w:rFonts w:cs="Arial"/>
                <w:szCs w:val="20"/>
              </w:rPr>
              <w:t>+</w:t>
            </w:r>
          </w:p>
        </w:tc>
        <w:tc>
          <w:tcPr>
            <w:tcW w:w="902" w:type="pct"/>
          </w:tcPr>
          <w:p w:rsidR="00C3639C" w:rsidRPr="00D40DC4" w:rsidRDefault="00C3639C" w:rsidP="00C3639C">
            <w:pPr>
              <w:spacing w:after="0"/>
              <w:rPr>
                <w:rFonts w:cs="Arial"/>
                <w:b/>
                <w:szCs w:val="20"/>
              </w:rPr>
            </w:pPr>
            <w:r w:rsidRPr="00D40DC4">
              <w:rPr>
                <w:rFonts w:cs="Arial"/>
                <w:szCs w:val="20"/>
              </w:rPr>
              <w:t>nem szerepel</w:t>
            </w:r>
          </w:p>
        </w:tc>
      </w:tr>
    </w:tbl>
    <w:p w:rsidR="00322396" w:rsidRPr="00D40DC4" w:rsidRDefault="00322396" w:rsidP="00221929">
      <w:pPr>
        <w:rPr>
          <w:rFonts w:cs="Arial"/>
        </w:rPr>
      </w:pPr>
      <w:r w:rsidRPr="00D40DC4">
        <w:rPr>
          <w:rFonts w:cs="Arial"/>
        </w:rPr>
        <w:t xml:space="preserve">*A </w:t>
      </w:r>
      <w:r w:rsidR="00C3639C" w:rsidRPr="00D40DC4">
        <w:rPr>
          <w:rFonts w:cs="Arial"/>
        </w:rPr>
        <w:t xml:space="preserve">maradványértéket </w:t>
      </w:r>
      <w:r w:rsidRPr="00D40DC4">
        <w:rPr>
          <w:rFonts w:cs="Arial"/>
        </w:rPr>
        <w:t>a finanszírozási hiány számítása során csak a</w:t>
      </w:r>
      <w:r w:rsidR="00E077E5" w:rsidRPr="00D40DC4">
        <w:rPr>
          <w:rFonts w:cs="Arial"/>
        </w:rPr>
        <w:t>kkor kell a</w:t>
      </w:r>
      <w:r w:rsidRPr="00D40DC4">
        <w:rPr>
          <w:rFonts w:cs="Arial"/>
        </w:rPr>
        <w:t xml:space="preserve"> DNR-ben figyelembe venni</w:t>
      </w:r>
      <w:r w:rsidR="00E077E5" w:rsidRPr="00D40DC4">
        <w:rPr>
          <w:rFonts w:cs="Arial"/>
        </w:rPr>
        <w:t>, ha a DNOR pozitív. A maradványértéket</w:t>
      </w:r>
      <w:r w:rsidRPr="00D40DC4">
        <w:rPr>
          <w:rFonts w:cs="Arial"/>
        </w:rPr>
        <w:t xml:space="preserve"> a DIC-be nem</w:t>
      </w:r>
      <w:r w:rsidR="00E077E5" w:rsidRPr="00D40DC4">
        <w:rPr>
          <w:rFonts w:cs="Arial"/>
        </w:rPr>
        <w:t xml:space="preserve"> szabad beleszámolni</w:t>
      </w:r>
      <w:r w:rsidRPr="00D40DC4">
        <w:rPr>
          <w:rFonts w:cs="Arial"/>
        </w:rPr>
        <w:t>, mivel azok nem merülnek fel a beruházási szakaszban. Ugyanez érvényes a tőke kiadásokra melyek a működés alatt merülnek fel (pl.: rövid élettartamú gépek és berendezések pótlása).</w:t>
      </w:r>
    </w:p>
    <w:p w:rsidR="00322396" w:rsidRPr="00D40DC4" w:rsidRDefault="00322396" w:rsidP="00221929">
      <w:pPr>
        <w:rPr>
          <w:rFonts w:cs="Arial"/>
        </w:rPr>
      </w:pPr>
      <w:r w:rsidRPr="00D40DC4">
        <w:rPr>
          <w:rFonts w:cs="Arial"/>
        </w:rPr>
        <w:t>**Rövid lejáratú eszközök és források különbségének változása.</w:t>
      </w:r>
    </w:p>
    <w:p w:rsidR="00322396" w:rsidRPr="00D40DC4" w:rsidRDefault="00322396" w:rsidP="005A76C2">
      <w:pPr>
        <w:pStyle w:val="Cmsor4"/>
      </w:pPr>
      <w:bookmarkStart w:id="436" w:name="_Toc223856895"/>
      <w:bookmarkStart w:id="437" w:name="_Toc223877255"/>
      <w:bookmarkStart w:id="438" w:name="_Toc177825048"/>
      <w:bookmarkStart w:id="439" w:name="_Toc241657521"/>
      <w:bookmarkStart w:id="440" w:name="_Toc228260743"/>
      <w:bookmarkStart w:id="441" w:name="_Ref428368764"/>
      <w:bookmarkEnd w:id="436"/>
      <w:bookmarkEnd w:id="437"/>
      <w:r w:rsidRPr="00D40DC4">
        <w:t>A pénzügyi elemzésnél kiemelt módszertani kérdések</w:t>
      </w:r>
      <w:bookmarkEnd w:id="438"/>
      <w:bookmarkEnd w:id="439"/>
      <w:bookmarkEnd w:id="440"/>
      <w:bookmarkEnd w:id="441"/>
    </w:p>
    <w:p w:rsidR="00322396" w:rsidRPr="00D40DC4" w:rsidRDefault="00322396" w:rsidP="00221929">
      <w:pPr>
        <w:rPr>
          <w:rFonts w:cs="Arial"/>
        </w:rPr>
      </w:pPr>
      <w:r w:rsidRPr="00D40DC4">
        <w:rPr>
          <w:rFonts w:cs="Arial"/>
        </w:rPr>
        <w:t>A pénzügyi elemzés során kiemelt figyelmet kell fordítani - a 2.4. pontban bemutatott Kiemelt módszertani kérdések mellett – alábbi kérdésekre.</w:t>
      </w:r>
    </w:p>
    <w:p w:rsidR="0068613E" w:rsidRPr="00D40DC4" w:rsidRDefault="0068613E" w:rsidP="00221929">
      <w:pPr>
        <w:rPr>
          <w:rFonts w:cs="Arial"/>
          <w:b/>
        </w:rPr>
      </w:pPr>
      <w:r w:rsidRPr="00D40DC4">
        <w:rPr>
          <w:rFonts w:cs="Arial"/>
          <w:b/>
        </w:rPr>
        <w:t>ÁFA</w:t>
      </w:r>
    </w:p>
    <w:p w:rsidR="00322396" w:rsidRPr="00D40DC4" w:rsidRDefault="00322396" w:rsidP="00221929">
      <w:pPr>
        <w:rPr>
          <w:rFonts w:cs="Arial"/>
        </w:rPr>
      </w:pPr>
      <w:r w:rsidRPr="00D40DC4">
        <w:rPr>
          <w:rFonts w:cs="Arial"/>
        </w:rPr>
        <w:t xml:space="preserve">A pénzügyi elemzésben attól függően kell szerepeltetni az </w:t>
      </w:r>
      <w:r w:rsidR="000A2A44" w:rsidRPr="00D40DC4">
        <w:rPr>
          <w:rFonts w:cs="Arial"/>
        </w:rPr>
        <w:t>ÁFÁ</w:t>
      </w:r>
      <w:r w:rsidRPr="00D40DC4">
        <w:rPr>
          <w:rFonts w:cs="Arial"/>
        </w:rPr>
        <w:t xml:space="preserve">-t, hogy a vizsgált szereplő (a beruházó, a működtető-fenntartó, illetve ezen feladatok finanszírozásért felelős szereplő) jogosult-e az </w:t>
      </w:r>
      <w:r w:rsidR="000A2A44" w:rsidRPr="00D40DC4">
        <w:rPr>
          <w:rFonts w:cs="Arial"/>
        </w:rPr>
        <w:t>ÁFA</w:t>
      </w:r>
      <w:r w:rsidR="00C3639C" w:rsidRPr="00D40DC4">
        <w:rPr>
          <w:rFonts w:cs="Arial"/>
        </w:rPr>
        <w:t xml:space="preserve"> </w:t>
      </w:r>
      <w:r w:rsidRPr="00D40DC4">
        <w:rPr>
          <w:rFonts w:cs="Arial"/>
        </w:rPr>
        <w:t xml:space="preserve">visszaigénylésére. Amennyiben a projekt kedvezményezettje (a beruházó) a beruházás egyes elemeire az </w:t>
      </w:r>
      <w:r w:rsidR="000A2A44" w:rsidRPr="00D40DC4">
        <w:rPr>
          <w:rFonts w:cs="Arial"/>
        </w:rPr>
        <w:t>ÁFÁ</w:t>
      </w:r>
      <w:r w:rsidRPr="00D40DC4">
        <w:rPr>
          <w:rFonts w:cs="Arial"/>
        </w:rPr>
        <w:t xml:space="preserve">-t nem igényelheti vissza, a beruházási költség </w:t>
      </w:r>
      <w:r w:rsidR="000A2A44" w:rsidRPr="00D40DC4">
        <w:rPr>
          <w:rFonts w:cs="Arial"/>
        </w:rPr>
        <w:t>ÁFÁ</w:t>
      </w:r>
      <w:r w:rsidRPr="00D40DC4">
        <w:rPr>
          <w:rFonts w:cs="Arial"/>
        </w:rPr>
        <w:t xml:space="preserve">-ját szerepeltetni kell a beruházás összes költségei bemutatása között. Az </w:t>
      </w:r>
      <w:r w:rsidR="000A2A44" w:rsidRPr="00D40DC4">
        <w:rPr>
          <w:rFonts w:cs="Arial"/>
        </w:rPr>
        <w:t>ÁFA</w:t>
      </w:r>
      <w:r w:rsidR="00C3639C" w:rsidRPr="00D40DC4">
        <w:rPr>
          <w:rFonts w:cs="Arial"/>
        </w:rPr>
        <w:t xml:space="preserve"> </w:t>
      </w:r>
      <w:r w:rsidRPr="00D40DC4">
        <w:rPr>
          <w:rFonts w:cs="Arial"/>
        </w:rPr>
        <w:t xml:space="preserve">költségek elszámolhatóságára vonatkozóan a </w:t>
      </w:r>
      <w:r w:rsidR="00667044" w:rsidRPr="00D40DC4">
        <w:rPr>
          <w:rFonts w:cs="Arial"/>
        </w:rPr>
        <w:t>kiírás</w:t>
      </w:r>
      <w:r w:rsidRPr="00D40DC4">
        <w:rPr>
          <w:rFonts w:cs="Arial"/>
        </w:rPr>
        <w:t xml:space="preserve"> és útmutató szerint kell eljárni. Általános esetben a </w:t>
      </w:r>
      <w:r w:rsidR="00720529" w:rsidRPr="00D40DC4">
        <w:rPr>
          <w:rFonts w:cs="Arial"/>
        </w:rPr>
        <w:t xml:space="preserve">nettó bevételt termelő </w:t>
      </w:r>
      <w:r w:rsidRPr="00D40DC4">
        <w:rPr>
          <w:rFonts w:cs="Arial"/>
        </w:rPr>
        <w:t xml:space="preserve">közlekedésfejlesztési nagyprojekteknél a beruházási költségre jutó </w:t>
      </w:r>
      <w:r w:rsidR="000A2A44" w:rsidRPr="00D40DC4">
        <w:rPr>
          <w:rFonts w:cs="Arial"/>
        </w:rPr>
        <w:t>ÁFA</w:t>
      </w:r>
      <w:r w:rsidR="00C3639C" w:rsidRPr="00D40DC4">
        <w:rPr>
          <w:rFonts w:cs="Arial"/>
        </w:rPr>
        <w:t xml:space="preserve"> </w:t>
      </w:r>
      <w:r w:rsidRPr="00D40DC4">
        <w:rPr>
          <w:rFonts w:cs="Arial"/>
        </w:rPr>
        <w:t xml:space="preserve">nem elszámolható, nem támogatható költség akkor sem, ha a kedvezményezett (beruházó) azt nem igényelheti vissza. Ez abból következik, hogy a Törvényszék a T-89/10. sz. és a T-407/10. sz ügyekben hozott ítéletei indoklásában kimondta, hogy a </w:t>
      </w:r>
      <w:r w:rsidR="00720529" w:rsidRPr="00D40DC4">
        <w:rPr>
          <w:rFonts w:cs="Arial"/>
        </w:rPr>
        <w:t xml:space="preserve">nettó bevételt termelő </w:t>
      </w:r>
      <w:r w:rsidRPr="00D40DC4">
        <w:rPr>
          <w:rFonts w:cs="Arial"/>
        </w:rPr>
        <w:t xml:space="preserve">közlekedésfejlesztési nagyprojektek beruházási költségére jutó </w:t>
      </w:r>
      <w:r w:rsidR="00C3639C" w:rsidRPr="00D40DC4">
        <w:rPr>
          <w:rFonts w:cs="Arial"/>
        </w:rPr>
        <w:t xml:space="preserve">áfa </w:t>
      </w:r>
      <w:r w:rsidRPr="00D40DC4">
        <w:rPr>
          <w:rFonts w:cs="Arial"/>
        </w:rPr>
        <w:t>megtérülőnek minősül, ezért az nem támogatható abban az esetben sem, ha a kedvezményezett (beruházó) azt nem igényelheti vissza.</w:t>
      </w:r>
    </w:p>
    <w:p w:rsidR="00322396" w:rsidRPr="00D40DC4" w:rsidRDefault="00322396" w:rsidP="00221929">
      <w:pPr>
        <w:rPr>
          <w:rFonts w:cs="Arial"/>
        </w:rPr>
      </w:pPr>
      <w:r w:rsidRPr="00D40DC4">
        <w:rPr>
          <w:rFonts w:cs="Arial"/>
        </w:rPr>
        <w:t xml:space="preserve">A fentiek alapján a beruházási költségekre jutó, nem visszaigényelhető és nem támogatható </w:t>
      </w:r>
      <w:r w:rsidR="000A2A44" w:rsidRPr="00D40DC4">
        <w:rPr>
          <w:rFonts w:cs="Arial"/>
        </w:rPr>
        <w:t>ÁFÁ</w:t>
      </w:r>
      <w:r w:rsidRPr="00D40DC4">
        <w:rPr>
          <w:rFonts w:cs="Arial"/>
        </w:rPr>
        <w:t xml:space="preserve">-t nem lehet figyelembe venni a finanszírozási hiány számítása során a diszkontált beruházási költségben. Ebben az esetben értelemszerűen a bevételek számítása sem tartalmazza a bevételekre jutó </w:t>
      </w:r>
      <w:r w:rsidR="000A2A44" w:rsidRPr="00D40DC4">
        <w:rPr>
          <w:rFonts w:cs="Arial"/>
        </w:rPr>
        <w:t>ÁFÁ</w:t>
      </w:r>
      <w:r w:rsidRPr="00D40DC4">
        <w:rPr>
          <w:rFonts w:cs="Arial"/>
        </w:rPr>
        <w:t xml:space="preserve">-t, hiszen ez esetben az </w:t>
      </w:r>
      <w:r w:rsidR="00C3639C" w:rsidRPr="00D40DC4">
        <w:rPr>
          <w:rFonts w:cs="Arial"/>
        </w:rPr>
        <w:t xml:space="preserve">áfa </w:t>
      </w:r>
      <w:r w:rsidRPr="00D40DC4">
        <w:rPr>
          <w:rFonts w:cs="Arial"/>
        </w:rPr>
        <w:t xml:space="preserve">megtérülőnek minősül, és azt be kell fizetni. Amennyiben a beruházási költségre jutó </w:t>
      </w:r>
      <w:r w:rsidR="00C3639C" w:rsidRPr="00D40DC4">
        <w:rPr>
          <w:rFonts w:cs="Arial"/>
        </w:rPr>
        <w:t xml:space="preserve">áfa </w:t>
      </w:r>
      <w:r w:rsidRPr="00D40DC4">
        <w:rPr>
          <w:rFonts w:cs="Arial"/>
        </w:rPr>
        <w:t xml:space="preserve">visszaigényelhető, a költségeket és bevételeket szintén ÁFA nélkül kell figyelembe venni a finanszírozási hiány számítása során. Ha a projekt kedvezményezettje (a </w:t>
      </w:r>
      <w:r w:rsidRPr="00D40DC4">
        <w:rPr>
          <w:rFonts w:cs="Arial"/>
        </w:rPr>
        <w:lastRenderedPageBreak/>
        <w:t xml:space="preserve">beruházó) visszaigényelheti az </w:t>
      </w:r>
      <w:r w:rsidR="000A2A44" w:rsidRPr="00D40DC4">
        <w:rPr>
          <w:rFonts w:cs="Arial"/>
        </w:rPr>
        <w:t>ÁFÁ</w:t>
      </w:r>
      <w:r w:rsidRPr="00D40DC4">
        <w:rPr>
          <w:rFonts w:cs="Arial"/>
        </w:rPr>
        <w:t>-t, akkor az számára nem jelent költséget, így az a pénzügyi elemzésnek sem része.</w:t>
      </w:r>
    </w:p>
    <w:p w:rsidR="00322396" w:rsidRPr="00D40DC4" w:rsidRDefault="00322396" w:rsidP="00221929">
      <w:pPr>
        <w:rPr>
          <w:rFonts w:cs="Arial"/>
        </w:rPr>
      </w:pPr>
      <w:r w:rsidRPr="00D40DC4">
        <w:rPr>
          <w:rFonts w:cs="Arial"/>
        </w:rPr>
        <w:t xml:space="preserve">Ugyanez érvényes az üzemeltetési és karbantartási költségek esetén is: az </w:t>
      </w:r>
      <w:r w:rsidR="00C3639C" w:rsidRPr="00D40DC4">
        <w:rPr>
          <w:rFonts w:cs="Arial"/>
        </w:rPr>
        <w:t xml:space="preserve">áfa </w:t>
      </w:r>
      <w:r w:rsidRPr="00D40DC4">
        <w:rPr>
          <w:rFonts w:cs="Arial"/>
        </w:rPr>
        <w:t xml:space="preserve">nem szerepelhet az elemzésben, ha a működtető-fenntartó </w:t>
      </w:r>
      <w:r w:rsidR="00C3639C" w:rsidRPr="00D40DC4">
        <w:rPr>
          <w:rFonts w:cs="Arial"/>
        </w:rPr>
        <w:t>áfa</w:t>
      </w:r>
      <w:r w:rsidRPr="00D40DC4">
        <w:rPr>
          <w:rFonts w:cs="Arial"/>
        </w:rPr>
        <w:t xml:space="preserve">-visszaigénylő, de szerepelnie kell az elemzésben, ha a működtető-fenntartó nem igényelheti vissza az </w:t>
      </w:r>
      <w:r w:rsidR="000A2A44" w:rsidRPr="00D40DC4">
        <w:rPr>
          <w:rFonts w:cs="Arial"/>
        </w:rPr>
        <w:t>ÁFÁ</w:t>
      </w:r>
      <w:r w:rsidRPr="00D40DC4">
        <w:rPr>
          <w:rFonts w:cs="Arial"/>
        </w:rPr>
        <w:t>-t.</w:t>
      </w:r>
    </w:p>
    <w:p w:rsidR="00322396" w:rsidRPr="00D40DC4" w:rsidRDefault="00322396" w:rsidP="00221929">
      <w:pPr>
        <w:rPr>
          <w:rFonts w:cs="Arial"/>
        </w:rPr>
      </w:pPr>
      <w:r w:rsidRPr="00D40DC4">
        <w:rPr>
          <w:rFonts w:cs="Arial"/>
        </w:rPr>
        <w:t xml:space="preserve">A bevételeknél, a működtetés szempontjából a nettó bevétel jelenik csak meg, hiszen az </w:t>
      </w:r>
      <w:r w:rsidR="000A2A44" w:rsidRPr="00D40DC4">
        <w:rPr>
          <w:rFonts w:cs="Arial"/>
        </w:rPr>
        <w:t>ÁFÁ</w:t>
      </w:r>
      <w:r w:rsidRPr="00D40DC4">
        <w:rPr>
          <w:rFonts w:cs="Arial"/>
        </w:rPr>
        <w:t xml:space="preserve">-t be kell fizetni, így a működési bevételben nettó összegnek kell szerepelnie. A teherviselő képességi vizsgálatokban viszont, ha a fogyasztó/díjfizető nem </w:t>
      </w:r>
      <w:r w:rsidR="00C3639C" w:rsidRPr="00D40DC4">
        <w:rPr>
          <w:rFonts w:cs="Arial"/>
        </w:rPr>
        <w:t>áfa-</w:t>
      </w:r>
      <w:r w:rsidRPr="00D40DC4">
        <w:rPr>
          <w:rFonts w:cs="Arial"/>
        </w:rPr>
        <w:t xml:space="preserve">visszaigénylő (pl. lakosság), akkor a bruttó összeget (a tényleges fizetési teherként jelentkező, </w:t>
      </w:r>
      <w:r w:rsidR="000A2A44" w:rsidRPr="00D40DC4">
        <w:rPr>
          <w:rFonts w:cs="Arial"/>
        </w:rPr>
        <w:t>ÁFÁ</w:t>
      </w:r>
      <w:r w:rsidRPr="00D40DC4">
        <w:rPr>
          <w:rFonts w:cs="Arial"/>
        </w:rPr>
        <w:t xml:space="preserve">-val növelt díjak összegét) kell figyelembe venni. </w:t>
      </w:r>
    </w:p>
    <w:p w:rsidR="00322396" w:rsidRPr="00D40DC4" w:rsidRDefault="00322396" w:rsidP="00DD7E6C">
      <w:pPr>
        <w:pStyle w:val="Cmsor2"/>
      </w:pPr>
      <w:bookmarkStart w:id="442" w:name="_Toc223856897"/>
      <w:bookmarkStart w:id="443" w:name="_Toc223877257"/>
      <w:bookmarkStart w:id="444" w:name="_Toc223856899"/>
      <w:bookmarkStart w:id="445" w:name="_Toc223877259"/>
      <w:bookmarkStart w:id="446" w:name="_Toc168220456"/>
      <w:bookmarkStart w:id="447" w:name="_Toc168297787"/>
      <w:bookmarkStart w:id="448" w:name="_Toc170536539"/>
      <w:bookmarkStart w:id="449" w:name="_Toc170570408"/>
      <w:bookmarkStart w:id="450" w:name="_Toc170580438"/>
      <w:bookmarkStart w:id="451" w:name="_Toc170595666"/>
      <w:bookmarkStart w:id="452" w:name="_Toc170596921"/>
      <w:bookmarkStart w:id="453" w:name="_Toc177825049"/>
      <w:bookmarkStart w:id="454" w:name="_Toc241657522"/>
      <w:bookmarkStart w:id="455" w:name="_Toc228260744"/>
      <w:bookmarkStart w:id="456" w:name="_Ref428373493"/>
      <w:bookmarkStart w:id="457" w:name="_Toc436923895"/>
      <w:bookmarkEnd w:id="442"/>
      <w:bookmarkEnd w:id="443"/>
      <w:bookmarkEnd w:id="444"/>
      <w:bookmarkEnd w:id="445"/>
      <w:bookmarkEnd w:id="446"/>
      <w:bookmarkEnd w:id="447"/>
      <w:bookmarkEnd w:id="448"/>
      <w:bookmarkEnd w:id="449"/>
      <w:bookmarkEnd w:id="450"/>
      <w:bookmarkEnd w:id="451"/>
      <w:bookmarkEnd w:id="452"/>
      <w:r w:rsidRPr="00D40DC4">
        <w:t>A projekt pénzügyi költségeinek becslése</w:t>
      </w:r>
      <w:bookmarkEnd w:id="453"/>
      <w:bookmarkEnd w:id="454"/>
      <w:bookmarkEnd w:id="455"/>
      <w:bookmarkEnd w:id="456"/>
      <w:bookmarkEnd w:id="457"/>
    </w:p>
    <w:p w:rsidR="00322396" w:rsidRPr="00D40DC4" w:rsidRDefault="00322396" w:rsidP="00DD7E6C">
      <w:pPr>
        <w:pStyle w:val="Cmsor3"/>
      </w:pPr>
      <w:bookmarkStart w:id="458" w:name="_Toc223751366"/>
      <w:bookmarkStart w:id="459" w:name="_Toc223751849"/>
      <w:bookmarkStart w:id="460" w:name="_Toc223856902"/>
      <w:bookmarkStart w:id="461" w:name="_Toc223877262"/>
      <w:bookmarkStart w:id="462" w:name="_Toc223751369"/>
      <w:bookmarkStart w:id="463" w:name="_Toc223751852"/>
      <w:bookmarkStart w:id="464" w:name="_Toc223856905"/>
      <w:bookmarkStart w:id="465" w:name="_Toc223877265"/>
      <w:bookmarkStart w:id="466" w:name="_Toc223751370"/>
      <w:bookmarkStart w:id="467" w:name="_Toc223751853"/>
      <w:bookmarkStart w:id="468" w:name="_Toc223856906"/>
      <w:bookmarkStart w:id="469" w:name="_Toc223877266"/>
      <w:bookmarkStart w:id="470" w:name="_Toc177825050"/>
      <w:bookmarkStart w:id="471" w:name="_Toc241657523"/>
      <w:bookmarkStart w:id="472" w:name="_Toc228260745"/>
      <w:bookmarkStart w:id="473" w:name="_Ref428192134"/>
      <w:bookmarkStart w:id="474" w:name="_Ref428258268"/>
      <w:bookmarkStart w:id="475" w:name="_Toc436923896"/>
      <w:bookmarkEnd w:id="458"/>
      <w:bookmarkEnd w:id="459"/>
      <w:bookmarkEnd w:id="460"/>
      <w:bookmarkEnd w:id="461"/>
      <w:bookmarkEnd w:id="462"/>
      <w:bookmarkEnd w:id="463"/>
      <w:bookmarkEnd w:id="464"/>
      <w:bookmarkEnd w:id="465"/>
      <w:bookmarkEnd w:id="466"/>
      <w:bookmarkEnd w:id="467"/>
      <w:bookmarkEnd w:id="468"/>
      <w:bookmarkEnd w:id="469"/>
      <w:r w:rsidRPr="00D40DC4">
        <w:t>Beruházási költségek</w:t>
      </w:r>
      <w:bookmarkEnd w:id="470"/>
      <w:r w:rsidRPr="00D40DC4">
        <w:t xml:space="preserve"> becslése</w:t>
      </w:r>
      <w:bookmarkEnd w:id="471"/>
      <w:bookmarkEnd w:id="472"/>
      <w:bookmarkEnd w:id="473"/>
      <w:bookmarkEnd w:id="474"/>
      <w:bookmarkEnd w:id="475"/>
    </w:p>
    <w:p w:rsidR="00AA6591" w:rsidRPr="00D40DC4" w:rsidRDefault="00AA6591" w:rsidP="00971400">
      <w:pPr>
        <w:pStyle w:val="Cmsor7"/>
      </w:pPr>
      <w:r w:rsidRPr="00D40DC4">
        <w:t>Egyszerűsítés a beruházási költségek becslésében</w:t>
      </w:r>
    </w:p>
    <w:p w:rsidR="00AA6591" w:rsidRPr="00D40DC4" w:rsidRDefault="00CA215D" w:rsidP="00971400">
      <w:pPr>
        <w:rPr>
          <w:lang w:eastAsia="hu-HU"/>
        </w:rPr>
      </w:pPr>
      <w:r w:rsidRPr="00D40DC4">
        <w:rPr>
          <w:lang w:eastAsia="hu-HU"/>
        </w:rPr>
        <w:t>A nagyprojektekre vonatkozó támogatási kérelemben szereplő sablontáblát (</w:t>
      </w:r>
      <w:r w:rsidRPr="00D40DC4">
        <w:rPr>
          <w:lang w:eastAsia="hu-HU"/>
        </w:rPr>
        <w:fldChar w:fldCharType="begin"/>
      </w:r>
      <w:r w:rsidRPr="00D40DC4">
        <w:rPr>
          <w:lang w:eastAsia="hu-HU"/>
        </w:rPr>
        <w:instrText xml:space="preserve"> REF _Ref428631533 \h </w:instrText>
      </w:r>
      <w:r w:rsidR="00D40DC4">
        <w:rPr>
          <w:lang w:eastAsia="hu-HU"/>
        </w:rPr>
        <w:instrText xml:space="preserve"> \* MERGEFORMAT </w:instrText>
      </w:r>
      <w:r w:rsidRPr="00D40DC4">
        <w:rPr>
          <w:lang w:eastAsia="hu-HU"/>
        </w:rPr>
      </w:r>
      <w:r w:rsidRPr="00D40DC4">
        <w:rPr>
          <w:lang w:eastAsia="hu-HU"/>
        </w:rPr>
        <w:fldChar w:fldCharType="separate"/>
      </w:r>
      <w:r w:rsidR="007B4938" w:rsidRPr="00D40DC4">
        <w:rPr>
          <w:noProof/>
        </w:rPr>
        <w:t>6</w:t>
      </w:r>
      <w:r w:rsidRPr="00D40DC4">
        <w:rPr>
          <w:lang w:eastAsia="hu-HU"/>
        </w:rPr>
        <w:fldChar w:fldCharType="end"/>
      </w:r>
      <w:r w:rsidRPr="00D40DC4">
        <w:rPr>
          <w:lang w:eastAsia="hu-HU"/>
        </w:rPr>
        <w:t>. táblázat) csak a nagyprojektek esetén kell bemutatni.</w:t>
      </w:r>
    </w:p>
    <w:p w:rsidR="00CA215D" w:rsidRPr="00D40DC4" w:rsidRDefault="00CA215D" w:rsidP="00971400">
      <w:pPr>
        <w:rPr>
          <w:lang w:eastAsia="hu-HU"/>
        </w:rPr>
      </w:pPr>
      <w:r w:rsidRPr="00D40DC4">
        <w:rPr>
          <w:lang w:eastAsia="hu-HU"/>
        </w:rPr>
        <w:t xml:space="preserve">A valamennyi projekt esetén kitöltendő </w:t>
      </w:r>
      <w:r w:rsidRPr="00D40DC4">
        <w:rPr>
          <w:lang w:eastAsia="hu-HU"/>
        </w:rPr>
        <w:fldChar w:fldCharType="begin"/>
      </w:r>
      <w:r w:rsidRPr="00D40DC4">
        <w:rPr>
          <w:lang w:eastAsia="hu-HU"/>
        </w:rPr>
        <w:instrText xml:space="preserve"> REF _Ref428631570 \h </w:instrText>
      </w:r>
      <w:r w:rsidR="00D40DC4">
        <w:rPr>
          <w:lang w:eastAsia="hu-HU"/>
        </w:rPr>
        <w:instrText xml:space="preserve"> \* MERGEFORMAT </w:instrText>
      </w:r>
      <w:r w:rsidRPr="00D40DC4">
        <w:rPr>
          <w:lang w:eastAsia="hu-HU"/>
        </w:rPr>
      </w:r>
      <w:r w:rsidRPr="00D40DC4">
        <w:rPr>
          <w:lang w:eastAsia="hu-HU"/>
        </w:rPr>
        <w:fldChar w:fldCharType="separate"/>
      </w:r>
      <w:r w:rsidR="007B4938" w:rsidRPr="00D40DC4">
        <w:rPr>
          <w:noProof/>
        </w:rPr>
        <w:t>7</w:t>
      </w:r>
      <w:r w:rsidRPr="00D40DC4">
        <w:rPr>
          <w:lang w:eastAsia="hu-HU"/>
        </w:rPr>
        <w:fldChar w:fldCharType="end"/>
      </w:r>
      <w:r w:rsidRPr="00D40DC4">
        <w:rPr>
          <w:lang w:eastAsia="hu-HU"/>
        </w:rPr>
        <w:t>. táblázatban csak azon sorok bemutatása szükséges, melyek összege a teljes projektre vonatkozóan 0-tól eltérő.</w:t>
      </w:r>
    </w:p>
    <w:p w:rsidR="00322396" w:rsidRPr="00D40DC4" w:rsidRDefault="00322396" w:rsidP="005A76C2">
      <w:pPr>
        <w:pStyle w:val="Cmsor4"/>
      </w:pPr>
      <w:r w:rsidRPr="00D40DC4">
        <w:t>A beruházási költségbecslést meghatározó dokumentumok</w:t>
      </w:r>
    </w:p>
    <w:p w:rsidR="00322396" w:rsidRPr="00D40DC4" w:rsidRDefault="00322396" w:rsidP="00221929">
      <w:pPr>
        <w:rPr>
          <w:rFonts w:cs="Arial"/>
        </w:rPr>
      </w:pPr>
      <w:r w:rsidRPr="00D40DC4">
        <w:rPr>
          <w:rFonts w:cs="Arial"/>
        </w:rPr>
        <w:t xml:space="preserve">Az elszámolható és nem elszámolható költségeket részletesen a releváns pályázati útmutatók tartalmazzák. </w:t>
      </w:r>
    </w:p>
    <w:p w:rsidR="00322396" w:rsidRPr="00D40DC4" w:rsidRDefault="00322396" w:rsidP="00221929">
      <w:pPr>
        <w:rPr>
          <w:rFonts w:cs="Arial"/>
        </w:rPr>
      </w:pPr>
      <w:r w:rsidRPr="00D40DC4">
        <w:rPr>
          <w:rFonts w:cs="Arial"/>
        </w:rPr>
        <w:t xml:space="preserve">A Bizottság </w:t>
      </w:r>
      <w:r w:rsidR="00510472" w:rsidRPr="00D40DC4">
        <w:rPr>
          <w:rFonts w:cs="Arial"/>
        </w:rPr>
        <w:t xml:space="preserve">2015/207/EU végrehajtási rendelet C.1 (7) pontja </w:t>
      </w:r>
      <w:r w:rsidR="00946AB4" w:rsidRPr="00D40DC4">
        <w:rPr>
          <w:rFonts w:cs="Arial"/>
        </w:rPr>
        <w:t>alapján (</w:t>
      </w:r>
      <w:r w:rsidR="00510472" w:rsidRPr="00D40DC4">
        <w:rPr>
          <w:rFonts w:cs="Arial"/>
        </w:rPr>
        <w:t>Teljes elszámolható költség az 1303/2013/EU rendelet 61. cikkében foglalt előírások alkalmazása előtt</w:t>
      </w:r>
      <w:r w:rsidRPr="00D40DC4">
        <w:rPr>
          <w:rFonts w:cs="Arial"/>
        </w:rPr>
        <w:t xml:space="preserve">) a beruházási költségek </w:t>
      </w:r>
      <w:r w:rsidR="009F2177" w:rsidRPr="00D40DC4">
        <w:rPr>
          <w:rFonts w:cs="Arial"/>
        </w:rPr>
        <w:t xml:space="preserve">nagyprojekteknél elvárt </w:t>
      </w:r>
      <w:r w:rsidRPr="00D40DC4">
        <w:rPr>
          <w:rFonts w:cs="Arial"/>
        </w:rPr>
        <w:t>szerkezetét az alábbi táblázat tartalmazza.</w:t>
      </w:r>
    </w:p>
    <w:p w:rsidR="00322396" w:rsidRPr="00D40DC4" w:rsidRDefault="002C4DE0" w:rsidP="003A3FF0">
      <w:pPr>
        <w:pStyle w:val="Tblzat"/>
      </w:pPr>
      <w:r>
        <w:fldChar w:fldCharType="begin"/>
      </w:r>
      <w:r>
        <w:instrText xml:space="preserve"> SEQ táblázat \* ARABIC </w:instrText>
      </w:r>
      <w:r>
        <w:fldChar w:fldCharType="separate"/>
      </w:r>
      <w:bookmarkStart w:id="476" w:name="_Ref428631533"/>
      <w:bookmarkStart w:id="477" w:name="_Toc436923939"/>
      <w:r w:rsidR="007B4938" w:rsidRPr="00D40DC4">
        <w:rPr>
          <w:noProof/>
        </w:rPr>
        <w:t>6</w:t>
      </w:r>
      <w:bookmarkEnd w:id="476"/>
      <w:r>
        <w:rPr>
          <w:noProof/>
        </w:rPr>
        <w:fldChar w:fldCharType="end"/>
      </w:r>
      <w:r w:rsidR="00322396" w:rsidRPr="00D40DC4">
        <w:t xml:space="preserve">. táblázat: A beruházási költségek </w:t>
      </w:r>
      <w:r w:rsidR="009F2177" w:rsidRPr="00D40DC4">
        <w:t xml:space="preserve">nagyprojekteknél elvárt </w:t>
      </w:r>
      <w:r w:rsidR="00322396" w:rsidRPr="00D40DC4">
        <w:t xml:space="preserve">szerkezete a </w:t>
      </w:r>
      <w:r w:rsidR="00510472" w:rsidRPr="00D40DC4">
        <w:t>2015/207/EU</w:t>
      </w:r>
      <w:r w:rsidR="00322396" w:rsidRPr="00D40DC4">
        <w:t xml:space="preserve"> </w:t>
      </w:r>
      <w:r w:rsidR="00510472" w:rsidRPr="00D40DC4">
        <w:t xml:space="preserve">végrehajtási </w:t>
      </w:r>
      <w:r w:rsidR="00322396" w:rsidRPr="00D40DC4">
        <w:t xml:space="preserve">rendelet </w:t>
      </w:r>
      <w:r w:rsidR="00510472" w:rsidRPr="00D40DC4">
        <w:t>C.1 (7)</w:t>
      </w:r>
      <w:r w:rsidR="00322396" w:rsidRPr="00D40DC4">
        <w:t xml:space="preserve"> </w:t>
      </w:r>
      <w:r w:rsidR="00510472" w:rsidRPr="00D40DC4">
        <w:t xml:space="preserve">pontja </w:t>
      </w:r>
      <w:r w:rsidR="00322396" w:rsidRPr="00D40DC4">
        <w:t>alapján</w:t>
      </w:r>
      <w:bookmarkEnd w:id="4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tblGrid>
      <w:tr w:rsidR="00510472" w:rsidRPr="00D40DC4" w:rsidTr="00971400">
        <w:trPr>
          <w:trHeight w:val="255"/>
          <w:tblHeader/>
        </w:trPr>
        <w:tc>
          <w:tcPr>
            <w:tcW w:w="4390" w:type="dxa"/>
            <w:shd w:val="clear" w:color="auto" w:fill="99CCFF"/>
            <w:noWrap/>
            <w:vAlign w:val="center"/>
          </w:tcPr>
          <w:p w:rsidR="00510472" w:rsidRPr="00D40DC4" w:rsidRDefault="00510472" w:rsidP="002F7671">
            <w:pPr>
              <w:spacing w:after="0"/>
              <w:jc w:val="center"/>
              <w:rPr>
                <w:rFonts w:cs="Arial"/>
                <w:b/>
                <w:szCs w:val="20"/>
              </w:rPr>
            </w:pPr>
            <w:r w:rsidRPr="00D40DC4">
              <w:rPr>
                <w:rFonts w:cs="Arial"/>
                <w:b/>
                <w:szCs w:val="20"/>
              </w:rPr>
              <w:t>Megnevezés</w:t>
            </w:r>
          </w:p>
        </w:tc>
      </w:tr>
      <w:tr w:rsidR="00510472" w:rsidRPr="00D40DC4" w:rsidTr="00DD7E6C">
        <w:trPr>
          <w:trHeight w:val="255"/>
        </w:trPr>
        <w:tc>
          <w:tcPr>
            <w:tcW w:w="4390" w:type="dxa"/>
            <w:shd w:val="clear" w:color="auto" w:fill="auto"/>
            <w:noWrap/>
            <w:vAlign w:val="center"/>
          </w:tcPr>
          <w:p w:rsidR="00510472" w:rsidRPr="00D40DC4" w:rsidRDefault="00510472" w:rsidP="00DD7E6C">
            <w:pPr>
              <w:numPr>
                <w:ilvl w:val="0"/>
                <w:numId w:val="50"/>
              </w:numPr>
              <w:spacing w:before="60" w:after="60"/>
              <w:ind w:left="357" w:hanging="357"/>
              <w:jc w:val="left"/>
              <w:rPr>
                <w:szCs w:val="20"/>
              </w:rPr>
            </w:pPr>
            <w:r w:rsidRPr="00D40DC4">
              <w:t>Tervezési költségek</w:t>
            </w:r>
          </w:p>
        </w:tc>
      </w:tr>
      <w:tr w:rsidR="00510472" w:rsidRPr="00D40DC4" w:rsidTr="00DD7E6C">
        <w:trPr>
          <w:trHeight w:val="255"/>
        </w:trPr>
        <w:tc>
          <w:tcPr>
            <w:tcW w:w="4390" w:type="dxa"/>
            <w:shd w:val="clear" w:color="auto" w:fill="auto"/>
            <w:noWrap/>
            <w:vAlign w:val="center"/>
          </w:tcPr>
          <w:p w:rsidR="00510472" w:rsidRPr="00D40DC4" w:rsidRDefault="00510472" w:rsidP="00DD7E6C">
            <w:pPr>
              <w:numPr>
                <w:ilvl w:val="0"/>
                <w:numId w:val="50"/>
              </w:numPr>
              <w:spacing w:before="60" w:after="60"/>
              <w:ind w:left="357" w:hanging="357"/>
              <w:jc w:val="left"/>
              <w:rPr>
                <w:szCs w:val="20"/>
              </w:rPr>
            </w:pPr>
            <w:r w:rsidRPr="00D40DC4">
              <w:t>Földterület-vásárlás</w:t>
            </w:r>
          </w:p>
        </w:tc>
      </w:tr>
      <w:tr w:rsidR="00510472" w:rsidRPr="00D40DC4" w:rsidTr="00DD7E6C">
        <w:trPr>
          <w:trHeight w:val="255"/>
        </w:trPr>
        <w:tc>
          <w:tcPr>
            <w:tcW w:w="4390" w:type="dxa"/>
            <w:shd w:val="clear" w:color="auto" w:fill="auto"/>
            <w:noWrap/>
            <w:vAlign w:val="center"/>
          </w:tcPr>
          <w:p w:rsidR="00510472" w:rsidRPr="00D40DC4" w:rsidRDefault="00510472" w:rsidP="00DD7E6C">
            <w:pPr>
              <w:numPr>
                <w:ilvl w:val="0"/>
                <w:numId w:val="50"/>
              </w:numPr>
              <w:spacing w:before="60" w:after="60"/>
              <w:ind w:left="357" w:hanging="357"/>
              <w:jc w:val="left"/>
              <w:rPr>
                <w:szCs w:val="20"/>
              </w:rPr>
            </w:pPr>
            <w:r w:rsidRPr="00D40DC4">
              <w:t>Építés</w:t>
            </w:r>
          </w:p>
        </w:tc>
      </w:tr>
      <w:tr w:rsidR="00510472" w:rsidRPr="00D40DC4" w:rsidTr="00DD7E6C">
        <w:trPr>
          <w:trHeight w:val="255"/>
        </w:trPr>
        <w:tc>
          <w:tcPr>
            <w:tcW w:w="4390" w:type="dxa"/>
            <w:shd w:val="clear" w:color="auto" w:fill="auto"/>
            <w:noWrap/>
            <w:vAlign w:val="center"/>
          </w:tcPr>
          <w:p w:rsidR="00510472" w:rsidRPr="00D40DC4" w:rsidRDefault="00510472" w:rsidP="00DD7E6C">
            <w:pPr>
              <w:numPr>
                <w:ilvl w:val="0"/>
                <w:numId w:val="50"/>
              </w:numPr>
              <w:spacing w:before="60" w:after="60"/>
              <w:ind w:left="357" w:hanging="357"/>
              <w:jc w:val="left"/>
              <w:rPr>
                <w:szCs w:val="20"/>
              </w:rPr>
            </w:pPr>
            <w:r w:rsidRPr="00D40DC4">
              <w:t>Műszaki berendezések, gépek, járművek</w:t>
            </w:r>
          </w:p>
        </w:tc>
      </w:tr>
      <w:tr w:rsidR="00510472" w:rsidRPr="00D40DC4" w:rsidTr="00DD7E6C">
        <w:trPr>
          <w:trHeight w:val="255"/>
        </w:trPr>
        <w:tc>
          <w:tcPr>
            <w:tcW w:w="4390" w:type="dxa"/>
            <w:shd w:val="clear" w:color="auto" w:fill="auto"/>
            <w:noWrap/>
            <w:vAlign w:val="center"/>
          </w:tcPr>
          <w:p w:rsidR="00510472" w:rsidRPr="00D40DC4" w:rsidRDefault="00510472" w:rsidP="00DD7E6C">
            <w:pPr>
              <w:numPr>
                <w:ilvl w:val="0"/>
                <w:numId w:val="50"/>
              </w:numPr>
              <w:spacing w:before="60" w:after="60"/>
              <w:ind w:left="357" w:hanging="357"/>
              <w:jc w:val="left"/>
              <w:rPr>
                <w:szCs w:val="20"/>
              </w:rPr>
            </w:pPr>
            <w:r w:rsidRPr="00D40DC4">
              <w:t>Előre nem látható költségek</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Árkorrekció</w:t>
            </w:r>
            <w:r w:rsidRPr="00D40DC4">
              <w:rPr>
                <w:vertAlign w:val="superscript"/>
              </w:rPr>
              <w:footnoteReference w:id="10"/>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Nyilvánosság</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Felügyelet a kivitelezés során</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Technikai segítségnyújtás</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Részösszeg</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ÁFA</w:t>
            </w:r>
          </w:p>
        </w:tc>
      </w:tr>
      <w:tr w:rsidR="00510472" w:rsidRPr="00D40DC4" w:rsidTr="00971400">
        <w:trPr>
          <w:trHeight w:val="255"/>
        </w:trPr>
        <w:tc>
          <w:tcPr>
            <w:tcW w:w="4390" w:type="dxa"/>
            <w:shd w:val="clear" w:color="auto" w:fill="auto"/>
            <w:noWrap/>
          </w:tcPr>
          <w:p w:rsidR="00510472" w:rsidRPr="00D40DC4" w:rsidRDefault="00510472" w:rsidP="00DD7E6C">
            <w:pPr>
              <w:numPr>
                <w:ilvl w:val="0"/>
                <w:numId w:val="50"/>
              </w:numPr>
              <w:spacing w:before="60" w:after="60"/>
              <w:ind w:left="357" w:hanging="357"/>
              <w:rPr>
                <w:szCs w:val="20"/>
              </w:rPr>
            </w:pPr>
            <w:r w:rsidRPr="00D40DC4">
              <w:t>Összesen</w:t>
            </w:r>
          </w:p>
        </w:tc>
      </w:tr>
    </w:tbl>
    <w:p w:rsidR="00510472" w:rsidRPr="00D40DC4" w:rsidRDefault="00510472" w:rsidP="009F118C">
      <w:pPr>
        <w:rPr>
          <w:rFonts w:cs="Arial"/>
        </w:rPr>
      </w:pPr>
    </w:p>
    <w:p w:rsidR="00322396" w:rsidRPr="00D40DC4" w:rsidRDefault="00322396" w:rsidP="00221929">
      <w:pPr>
        <w:rPr>
          <w:rFonts w:cs="Arial"/>
        </w:rPr>
      </w:pPr>
      <w:r w:rsidRPr="00D40DC4">
        <w:rPr>
          <w:rFonts w:cs="Arial"/>
        </w:rPr>
        <w:lastRenderedPageBreak/>
        <w:t>A jelen útmutatóban a beruházási költségek a támogatási kategória szerint szükséges bontást, nem pedig a számviteli kategória szerinti beruházási költség szerkezetet követi. A támogatási kategória szerint beruházási költségnek az egyszeri, egy alkalommal felmerülő költségek minősülnek.</w:t>
      </w:r>
    </w:p>
    <w:p w:rsidR="00322396" w:rsidRPr="00D40DC4" w:rsidRDefault="00A81E53" w:rsidP="00221929">
      <w:pPr>
        <w:rPr>
          <w:rFonts w:cs="Arial"/>
        </w:rPr>
      </w:pPr>
      <w:r w:rsidRPr="00D40DC4">
        <w:rPr>
          <w:rFonts w:cs="Arial"/>
        </w:rPr>
        <w:t xml:space="preserve">A pályázati útmutató további megbontást is meghatározhat. Az egyes </w:t>
      </w:r>
      <w:r w:rsidR="00322396" w:rsidRPr="00D40DC4">
        <w:rPr>
          <w:rFonts w:cs="Arial"/>
        </w:rPr>
        <w:t>sor</w:t>
      </w:r>
      <w:r w:rsidRPr="00D40DC4">
        <w:rPr>
          <w:rFonts w:cs="Arial"/>
        </w:rPr>
        <w:t>ok</w:t>
      </w:r>
      <w:r w:rsidR="00322396" w:rsidRPr="00D40DC4">
        <w:rPr>
          <w:rFonts w:cs="Arial"/>
        </w:rPr>
        <w:t xml:space="preserve"> részletesebb magyarázata az alábbiakban szerepel (vigyázat, a pályázati útmutató határozza meg, hogy az egyes tételek az adott támogatási konstrukciónál hogyan elszámolhatók):</w:t>
      </w:r>
    </w:p>
    <w:p w:rsidR="00A81E53" w:rsidRPr="00D40DC4" w:rsidRDefault="00A81E53" w:rsidP="00221929">
      <w:pPr>
        <w:rPr>
          <w:rFonts w:cs="Arial"/>
        </w:rPr>
      </w:pPr>
      <w:r w:rsidRPr="00D40DC4">
        <w:rPr>
          <w:rFonts w:cs="Arial"/>
          <w:b/>
          <w:u w:val="single"/>
        </w:rPr>
        <w:t>1. Tervezési költségek:</w:t>
      </w:r>
      <w:r w:rsidRPr="00D40DC4">
        <w:rPr>
          <w:rFonts w:cs="Arial"/>
        </w:rPr>
        <w:t xml:space="preserve"> A projekt kivitelezéséhez szükséges valamennyi tervezési művelet, például a megvalósíthatósági tanulmány, környezeti hatásvizsgálat készítése, a szükséges engedélyezési dokumentumok, műszaki tervek, kiviteli és tendertervek és ezek hatósági díjának költségei stb.</w:t>
      </w:r>
    </w:p>
    <w:p w:rsidR="00322396" w:rsidRPr="00D40DC4" w:rsidRDefault="00322396" w:rsidP="00221929">
      <w:pPr>
        <w:rPr>
          <w:rFonts w:cs="Arial"/>
        </w:rPr>
      </w:pPr>
      <w:r w:rsidRPr="00D40DC4">
        <w:rPr>
          <w:rFonts w:cs="Arial"/>
          <w:b/>
          <w:u w:val="single"/>
        </w:rPr>
        <w:t>2. Földvásárlás</w:t>
      </w:r>
      <w:r w:rsidRPr="00D40DC4">
        <w:rPr>
          <w:rFonts w:cs="Arial"/>
        </w:rPr>
        <w:t>: A</w:t>
      </w:r>
      <w:r w:rsidR="0003218A" w:rsidRPr="00D40DC4">
        <w:rPr>
          <w:rFonts w:cs="Arial"/>
        </w:rPr>
        <w:t xml:space="preserve"> 1</w:t>
      </w:r>
      <w:r w:rsidR="006D7667" w:rsidRPr="00D40DC4">
        <w:rPr>
          <w:rFonts w:cs="Arial"/>
        </w:rPr>
        <w:t>303</w:t>
      </w:r>
      <w:r w:rsidR="0003218A" w:rsidRPr="00D40DC4">
        <w:rPr>
          <w:rFonts w:cs="Arial"/>
        </w:rPr>
        <w:t>/2014/EU rendelet 69. cikkének 3 b) pontja, valamint a 2015/207/EU végrehajtási</w:t>
      </w:r>
      <w:r w:rsidRPr="00D40DC4">
        <w:rPr>
          <w:rFonts w:cs="Arial"/>
        </w:rPr>
        <w:t xml:space="preserve"> rendelet </w:t>
      </w:r>
      <w:r w:rsidR="0003218A" w:rsidRPr="00D40DC4">
        <w:rPr>
          <w:rFonts w:cs="Arial"/>
        </w:rPr>
        <w:t>C.1. (6)</w:t>
      </w:r>
      <w:r w:rsidRPr="00D40DC4">
        <w:rPr>
          <w:rFonts w:cs="Arial"/>
        </w:rPr>
        <w:t xml:space="preserve"> </w:t>
      </w:r>
      <w:r w:rsidR="0003218A" w:rsidRPr="00D40DC4">
        <w:rPr>
          <w:rFonts w:cs="Arial"/>
        </w:rPr>
        <w:t xml:space="preserve">pontja </w:t>
      </w:r>
      <w:r w:rsidRPr="00D40DC4">
        <w:rPr>
          <w:rFonts w:cs="Arial"/>
        </w:rPr>
        <w:t>szerint a Kohéziós Alapból és ERFÁ-ból nem támogatható földvásárlás olyan összegért, mely meghaladja az érintett művelet teljes elszámolható költségének 10 %-át.</w:t>
      </w:r>
      <w:r w:rsidR="0003218A" w:rsidRPr="00D40DC4">
        <w:rPr>
          <w:rFonts w:cs="Arial"/>
        </w:rPr>
        <w:t xml:space="preserve"> Kivételes és kellően indokolt esetekben a környezetmegőrzést szolgáló műveletek tekintetében ez a korlátozás az említett százaléknál magasabb is lehet</w:t>
      </w:r>
    </w:p>
    <w:p w:rsidR="00A81E53" w:rsidRPr="00D40DC4" w:rsidRDefault="00A81E53" w:rsidP="00A81E53">
      <w:pPr>
        <w:rPr>
          <w:rFonts w:cs="Arial"/>
        </w:rPr>
      </w:pPr>
      <w:r w:rsidRPr="00D40DC4">
        <w:rPr>
          <w:rFonts w:cs="Arial"/>
          <w:b/>
          <w:u w:val="single"/>
        </w:rPr>
        <w:t>3. Építés:</w:t>
      </w:r>
      <w:r w:rsidRPr="00D40DC4">
        <w:rPr>
          <w:rFonts w:cs="Arial"/>
        </w:rPr>
        <w:t xml:space="preserve"> </w:t>
      </w:r>
      <w:r w:rsidR="00A23C6A" w:rsidRPr="00D40DC4">
        <w:rPr>
          <w:rFonts w:cs="Arial"/>
        </w:rPr>
        <w:t xml:space="preserve">A projekt keretében megvalósuló, </w:t>
      </w:r>
      <w:r w:rsidR="00A23C6A" w:rsidRPr="00D40DC4">
        <w:rPr>
          <w:rFonts w:cs="Arial"/>
          <w:i/>
        </w:rPr>
        <w:t>ingatlan</w:t>
      </w:r>
      <w:r w:rsidR="00A23C6A" w:rsidRPr="00D40DC4">
        <w:rPr>
          <w:rFonts w:cs="Arial"/>
        </w:rPr>
        <w:t xml:space="preserve"> létesítés, bővítés, átalakítás, felújítás. Ingatlan alatt értendő az épületeken túl az infrastrukturális elemek kivitelezése (utak, vasutak, csatornák) és más, ingatlan jellegű fejlesztés.</w:t>
      </w:r>
    </w:p>
    <w:p w:rsidR="00A81E53" w:rsidRPr="00D40DC4" w:rsidRDefault="00A81E53" w:rsidP="00A81E53">
      <w:pPr>
        <w:rPr>
          <w:rFonts w:cs="Arial"/>
        </w:rPr>
      </w:pPr>
      <w:r w:rsidRPr="00D40DC4">
        <w:rPr>
          <w:rFonts w:cs="Arial"/>
          <w:b/>
          <w:u w:val="single"/>
        </w:rPr>
        <w:t>4. Műszaki berendezések, gépek, járművek:</w:t>
      </w:r>
      <w:r w:rsidRPr="00D40DC4">
        <w:rPr>
          <w:rFonts w:cs="Arial"/>
        </w:rPr>
        <w:t xml:space="preserve"> </w:t>
      </w:r>
      <w:r w:rsidR="00A23C6A" w:rsidRPr="00D40DC4">
        <w:rPr>
          <w:rFonts w:cs="Arial"/>
        </w:rPr>
        <w:t>A projekt céljához kapcsolódó, a piacon elérhető, a projektcélok megvalósításához szükséges technológiát használó eszközök beszerzése. A projekt céljaival közvetlen összefüggésben, indokolt esetben elszámolható meglévő eszköz átalakításának, bővítésének, korszerűsítésének költsége - ideértve a zavartalan és biztonságos üzemeltetését szolgáló munka költsége is - ha az felújításnak minősül.</w:t>
      </w:r>
    </w:p>
    <w:p w:rsidR="00AB2890" w:rsidRPr="00D40DC4" w:rsidRDefault="00322396" w:rsidP="00221929">
      <w:pPr>
        <w:rPr>
          <w:rFonts w:cs="Arial"/>
        </w:rPr>
      </w:pPr>
      <w:r w:rsidRPr="00D40DC4">
        <w:rPr>
          <w:rFonts w:cs="Arial"/>
          <w:b/>
          <w:u w:val="single"/>
        </w:rPr>
        <w:t>5.</w:t>
      </w:r>
      <w:r w:rsidR="00AB2890" w:rsidRPr="00D40DC4">
        <w:rPr>
          <w:rFonts w:cs="Arial"/>
          <w:b/>
          <w:u w:val="single"/>
        </w:rPr>
        <w:t xml:space="preserve"> </w:t>
      </w:r>
      <w:r w:rsidRPr="00D40DC4">
        <w:rPr>
          <w:rFonts w:cs="Arial"/>
          <w:b/>
          <w:u w:val="single"/>
        </w:rPr>
        <w:t>Tartalék</w:t>
      </w:r>
      <w:r w:rsidRPr="00D40DC4">
        <w:rPr>
          <w:rFonts w:cs="Arial"/>
          <w:b/>
        </w:rPr>
        <w:t>:</w:t>
      </w:r>
      <w:r w:rsidRPr="00D40DC4">
        <w:rPr>
          <w:rFonts w:cs="Arial"/>
        </w:rPr>
        <w:t xml:space="preserve"> A tervezett tartalék az előre nem látható, nem tervezhető (de elszámolható költséget jelentő) kiadások fedezetére szolgál, melynek arányát a prioritási tengelyre vonatkozó akcióterv, illetve a </w:t>
      </w:r>
      <w:r w:rsidR="00C55627" w:rsidRPr="00D40DC4">
        <w:rPr>
          <w:rFonts w:cs="Arial"/>
        </w:rPr>
        <w:t xml:space="preserve">releváns </w:t>
      </w:r>
      <w:r w:rsidR="00667044" w:rsidRPr="00D40DC4">
        <w:rPr>
          <w:rFonts w:cs="Arial"/>
        </w:rPr>
        <w:t>kiírás</w:t>
      </w:r>
      <w:r w:rsidRPr="00D40DC4">
        <w:rPr>
          <w:rFonts w:cs="Arial"/>
        </w:rPr>
        <w:t xml:space="preserve"> határozza meg. A tartalék csak a közreműködő szervezet előzetes engedélyével használható fel, de nem lehet több mint a pályázati csomagban meghatározott felső határ. A tartalék mértékét részletes és mennyiségi kockázat-elemzéssel kell alátámasztani.</w:t>
      </w:r>
    </w:p>
    <w:p w:rsidR="00C55627" w:rsidRPr="00D40DC4" w:rsidRDefault="00322396" w:rsidP="00221929">
      <w:pPr>
        <w:rPr>
          <w:rFonts w:cs="Arial"/>
        </w:rPr>
      </w:pPr>
      <w:r w:rsidRPr="00D40DC4">
        <w:rPr>
          <w:rFonts w:cs="Arial"/>
        </w:rPr>
        <w:t>Nem tartalmazhatnak tartalékot a költségek a finanszírozási hiány (ennek megfelelően a támogatási arány) meghatározásakor. Ezek a többletkiadások bevehetők az alapok tervezett hozzájárulásának kiszámításához használt összes támogatható költség közé.</w:t>
      </w:r>
    </w:p>
    <w:p w:rsidR="00A23C6A" w:rsidRPr="00D40DC4" w:rsidRDefault="00C55627" w:rsidP="00C55627">
      <w:r w:rsidRPr="00D40DC4">
        <w:rPr>
          <w:b/>
          <w:u w:val="single"/>
        </w:rPr>
        <w:t>6. Árkorrekció, ha szükséges</w:t>
      </w:r>
      <w:r w:rsidRPr="00D40DC4">
        <w:rPr>
          <w:b/>
        </w:rPr>
        <w:t>:</w:t>
      </w:r>
      <w:r w:rsidRPr="00D40DC4">
        <w:t xml:space="preserve"> Adott esetben ármódosítás történhet a várható infláció fedezésére, ha a támogatható költségértékek folyóárakon vannak megadva. A projekt teljesítménymutatóinak elemzése során változatlan árak alkalmazása a szokásos módszertan, viszont a pénzáram elemzésben a folyó árak alkalmazása megfelelőbb (nominál ár) Az infláció hatással lehet beruházás pénzügyi megtérülési rátájára, ezért általában a folyó áron való számolás javasolt. Ellenkező esetben, amennyiben változatlan árak kerülnek alkalmazásra az elemzésben, akkor az árak változásából eredő kiigazításokat csak abban az esetben kell elvégezni, amennyiben azok jelentősnek minősülnek.</w:t>
      </w:r>
    </w:p>
    <w:p w:rsidR="00A23C6A" w:rsidRPr="00D40DC4" w:rsidRDefault="00A23C6A" w:rsidP="00A23C6A">
      <w:pPr>
        <w:rPr>
          <w:rFonts w:cs="Arial"/>
        </w:rPr>
      </w:pPr>
      <w:r w:rsidRPr="00D40DC4">
        <w:rPr>
          <w:rFonts w:cs="Arial"/>
          <w:b/>
          <w:u w:val="single"/>
        </w:rPr>
        <w:t>7. Nyilvánosság:</w:t>
      </w:r>
      <w:r w:rsidRPr="00D40DC4">
        <w:rPr>
          <w:rFonts w:cs="Arial"/>
        </w:rPr>
        <w:t xml:space="preserve"> </w:t>
      </w:r>
      <w:r w:rsidR="00E11417" w:rsidRPr="00D40DC4">
        <w:rPr>
          <w:rFonts w:cs="Arial"/>
        </w:rPr>
        <w:t>A pályázati felhívás által előírt nyilvánosság biztosításának költsége.</w:t>
      </w:r>
    </w:p>
    <w:p w:rsidR="00A23C6A" w:rsidRPr="00D40DC4" w:rsidRDefault="00A23C6A" w:rsidP="00A23C6A">
      <w:pPr>
        <w:rPr>
          <w:rFonts w:cs="Arial"/>
        </w:rPr>
      </w:pPr>
      <w:r w:rsidRPr="00D40DC4">
        <w:rPr>
          <w:rFonts w:cs="Arial"/>
          <w:b/>
          <w:u w:val="single"/>
        </w:rPr>
        <w:t>8. Felügyelet a kivitelezés során:</w:t>
      </w:r>
      <w:r w:rsidR="00E11417" w:rsidRPr="00D40DC4">
        <w:rPr>
          <w:rFonts w:cs="Arial"/>
        </w:rPr>
        <w:t xml:space="preserve"> A projekt céljának megvalósításában, illetve szakmai felügyeletében közvetlenül közreműködő személyzet - ide nem értve a projektmenedzsment tevékenységet ellátó személyzetet.</w:t>
      </w:r>
    </w:p>
    <w:p w:rsidR="00A23C6A" w:rsidRPr="00D40DC4" w:rsidRDefault="00A23C6A" w:rsidP="00E11417">
      <w:pPr>
        <w:rPr>
          <w:rFonts w:cs="Arial"/>
        </w:rPr>
      </w:pPr>
      <w:r w:rsidRPr="00D40DC4">
        <w:rPr>
          <w:rFonts w:cs="Arial"/>
          <w:b/>
          <w:u w:val="single"/>
        </w:rPr>
        <w:t>9. Technikai segítségnyújtás:</w:t>
      </w:r>
      <w:r w:rsidRPr="00D40DC4">
        <w:rPr>
          <w:rFonts w:cs="Arial"/>
        </w:rPr>
        <w:t xml:space="preserve"> </w:t>
      </w:r>
      <w:r w:rsidR="00E11417" w:rsidRPr="00D40DC4">
        <w:rPr>
          <w:rFonts w:cs="Arial"/>
        </w:rPr>
        <w:t>a szaktudás tanácsadók, képzés, kutatás formájában történő átadása és az azokhoz kapcsolódó költségek biztosítása.</w:t>
      </w:r>
    </w:p>
    <w:p w:rsidR="009F2177" w:rsidRPr="00D40DC4" w:rsidRDefault="00322396" w:rsidP="00971400">
      <w:pPr>
        <w:rPr>
          <w:rFonts w:cs="Arial"/>
        </w:rPr>
      </w:pPr>
      <w:r w:rsidRPr="00D40DC4">
        <w:rPr>
          <w:rFonts w:cs="Arial"/>
        </w:rPr>
        <w:t>A beruházási költségbecslést meghatározza még a támogatási konstrukcióra vonatkozó pályázati csomag előírásai, illetve az elszámolhatósági útmutató.</w:t>
      </w:r>
    </w:p>
    <w:p w:rsidR="00AA6591" w:rsidRPr="00D40DC4" w:rsidRDefault="009F2177" w:rsidP="00971400">
      <w:pPr>
        <w:rPr>
          <w:rFonts w:cs="Arial"/>
        </w:rPr>
      </w:pPr>
      <w:r w:rsidRPr="00D40DC4">
        <w:rPr>
          <w:rFonts w:cs="Arial"/>
        </w:rPr>
        <w:t>Nem nagyprojektek (és nagyprojektek esetén is) a beruházási költségeket be kell mutatni a következő mintatáblában szereplő, elszámolhatósági és időbeli esedékesség szerinti felbontás</w:t>
      </w:r>
      <w:r w:rsidR="00AA6591" w:rsidRPr="00D40DC4">
        <w:rPr>
          <w:rFonts w:cs="Arial"/>
        </w:rPr>
        <w:t xml:space="preserve"> szerint is.</w:t>
      </w:r>
    </w:p>
    <w:p w:rsidR="00AA6591" w:rsidRPr="00D40DC4" w:rsidRDefault="002C4DE0" w:rsidP="002314F2">
      <w:pPr>
        <w:pStyle w:val="Tblzat"/>
      </w:pPr>
      <w:r>
        <w:fldChar w:fldCharType="begin"/>
      </w:r>
      <w:r>
        <w:instrText xml:space="preserve"> SEQ táblá</w:instrText>
      </w:r>
      <w:r>
        <w:instrText xml:space="preserve">zat \* ARABIC </w:instrText>
      </w:r>
      <w:r>
        <w:fldChar w:fldCharType="separate"/>
      </w:r>
      <w:bookmarkStart w:id="478" w:name="_Ref428631570"/>
      <w:bookmarkStart w:id="479" w:name="_Toc436923940"/>
      <w:r w:rsidR="007B4938" w:rsidRPr="00D40DC4">
        <w:rPr>
          <w:noProof/>
        </w:rPr>
        <w:t>7</w:t>
      </w:r>
      <w:bookmarkEnd w:id="478"/>
      <w:r>
        <w:rPr>
          <w:noProof/>
        </w:rPr>
        <w:fldChar w:fldCharType="end"/>
      </w:r>
      <w:r w:rsidR="00AA6591" w:rsidRPr="00D40DC4">
        <w:t>. táblázat: A beruházási költségek felbontása elszámolhatóság és időbeli felmerülés szerint (Ft)</w:t>
      </w:r>
      <w:bookmarkEnd w:id="4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5"/>
        <w:gridCol w:w="1390"/>
        <w:gridCol w:w="1389"/>
        <w:gridCol w:w="1389"/>
        <w:gridCol w:w="310"/>
        <w:gridCol w:w="1389"/>
      </w:tblGrid>
      <w:tr w:rsidR="00AA6591" w:rsidRPr="00D40DC4" w:rsidTr="008F04B5">
        <w:trPr>
          <w:trHeight w:val="255"/>
          <w:tblHeader/>
        </w:trPr>
        <w:tc>
          <w:tcPr>
            <w:tcW w:w="1815" w:type="pct"/>
            <w:shd w:val="clear" w:color="auto" w:fill="99CCFF"/>
            <w:noWrap/>
            <w:vAlign w:val="center"/>
          </w:tcPr>
          <w:p w:rsidR="00AA6591" w:rsidRPr="00D40DC4" w:rsidRDefault="00AA6591" w:rsidP="008F04B5">
            <w:pPr>
              <w:spacing w:after="0"/>
              <w:jc w:val="center"/>
              <w:rPr>
                <w:rFonts w:cs="Arial"/>
                <w:b/>
                <w:szCs w:val="20"/>
              </w:rPr>
            </w:pPr>
            <w:r w:rsidRPr="00D40DC4">
              <w:rPr>
                <w:rFonts w:cs="Arial"/>
                <w:b/>
                <w:szCs w:val="20"/>
              </w:rPr>
              <w:t>Megnevezés</w:t>
            </w:r>
          </w:p>
        </w:tc>
        <w:tc>
          <w:tcPr>
            <w:tcW w:w="754" w:type="pct"/>
            <w:shd w:val="clear" w:color="auto" w:fill="99CCFF"/>
            <w:noWrap/>
            <w:vAlign w:val="center"/>
          </w:tcPr>
          <w:p w:rsidR="00AA6591" w:rsidRPr="00D40DC4" w:rsidRDefault="00AA6591" w:rsidP="008F04B5">
            <w:pPr>
              <w:spacing w:after="0"/>
              <w:jc w:val="center"/>
              <w:rPr>
                <w:rFonts w:cs="Arial"/>
                <w:b/>
                <w:szCs w:val="20"/>
              </w:rPr>
            </w:pPr>
            <w:r w:rsidRPr="00D40DC4">
              <w:rPr>
                <w:rFonts w:cs="Arial"/>
                <w:b/>
                <w:szCs w:val="20"/>
              </w:rPr>
              <w:t>Összesen</w:t>
            </w:r>
          </w:p>
        </w:tc>
        <w:tc>
          <w:tcPr>
            <w:tcW w:w="754" w:type="pct"/>
            <w:shd w:val="clear" w:color="auto" w:fill="99CCFF"/>
            <w:vAlign w:val="center"/>
          </w:tcPr>
          <w:p w:rsidR="00AA6591" w:rsidRPr="00D40DC4" w:rsidRDefault="00AA6591" w:rsidP="008F04B5">
            <w:pPr>
              <w:spacing w:after="0"/>
              <w:jc w:val="center"/>
              <w:rPr>
                <w:rFonts w:cs="Arial"/>
                <w:b/>
                <w:szCs w:val="20"/>
              </w:rPr>
            </w:pPr>
            <w:r w:rsidRPr="00D40DC4">
              <w:rPr>
                <w:rFonts w:cs="Arial"/>
                <w:b/>
                <w:szCs w:val="20"/>
              </w:rPr>
              <w:t>1. év</w:t>
            </w:r>
          </w:p>
        </w:tc>
        <w:tc>
          <w:tcPr>
            <w:tcW w:w="754" w:type="pct"/>
            <w:shd w:val="clear" w:color="auto" w:fill="99CCFF"/>
          </w:tcPr>
          <w:p w:rsidR="00AA6591" w:rsidRPr="00D40DC4" w:rsidRDefault="00AA6591" w:rsidP="008F04B5">
            <w:pPr>
              <w:spacing w:after="0"/>
              <w:jc w:val="center"/>
              <w:rPr>
                <w:rFonts w:cs="Arial"/>
                <w:b/>
                <w:szCs w:val="20"/>
              </w:rPr>
            </w:pPr>
            <w:r w:rsidRPr="00D40DC4">
              <w:rPr>
                <w:rFonts w:cs="Arial"/>
                <w:b/>
                <w:szCs w:val="20"/>
              </w:rPr>
              <w:t>2. év</w:t>
            </w:r>
          </w:p>
        </w:tc>
        <w:tc>
          <w:tcPr>
            <w:tcW w:w="168" w:type="pct"/>
            <w:shd w:val="clear" w:color="auto" w:fill="99CCFF"/>
            <w:noWrap/>
            <w:vAlign w:val="center"/>
          </w:tcPr>
          <w:p w:rsidR="00AA6591" w:rsidRPr="00D40DC4" w:rsidRDefault="00AA6591" w:rsidP="008F04B5">
            <w:pPr>
              <w:spacing w:after="0"/>
              <w:jc w:val="center"/>
              <w:rPr>
                <w:rFonts w:cs="Arial"/>
                <w:b/>
                <w:szCs w:val="20"/>
              </w:rPr>
            </w:pPr>
            <w:r w:rsidRPr="00D40DC4">
              <w:rPr>
                <w:rFonts w:cs="Arial"/>
                <w:b/>
                <w:szCs w:val="20"/>
              </w:rPr>
              <w:t>…</w:t>
            </w:r>
          </w:p>
        </w:tc>
        <w:tc>
          <w:tcPr>
            <w:tcW w:w="754" w:type="pct"/>
            <w:shd w:val="clear" w:color="auto" w:fill="99CCFF"/>
            <w:noWrap/>
            <w:vAlign w:val="bottom"/>
          </w:tcPr>
          <w:p w:rsidR="00AA6591" w:rsidRPr="00D40DC4" w:rsidRDefault="00AA6591" w:rsidP="008F04B5">
            <w:pPr>
              <w:spacing w:after="0"/>
              <w:jc w:val="center"/>
              <w:rPr>
                <w:rFonts w:cs="Arial"/>
                <w:b/>
                <w:szCs w:val="20"/>
              </w:rPr>
            </w:pPr>
            <w:r w:rsidRPr="00D40DC4">
              <w:rPr>
                <w:rFonts w:cs="Arial"/>
                <w:b/>
                <w:szCs w:val="20"/>
              </w:rPr>
              <w:t>n. év</w:t>
            </w: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Előzetes tanulmányok elkészítése</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lastRenderedPageBreak/>
              <w:t>Engedélyezési dokumentumok, műszaki tervek, kiviteli és tendertervek</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Tervellenőr</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Del="00B848EF" w:rsidRDefault="00AA6591" w:rsidP="006F2748">
            <w:pPr>
              <w:numPr>
                <w:ilvl w:val="0"/>
                <w:numId w:val="54"/>
              </w:numPr>
            </w:pPr>
            <w:r w:rsidRPr="00D40DC4">
              <w:t>Közbeszerzés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Igényfelmérés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Egyéb szakértői tanácsadás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Egyéb előkészítési költség</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1"/>
                <w:numId w:val="54"/>
              </w:numPr>
            </w:pPr>
            <w:r w:rsidRPr="00D40DC4">
              <w: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Előkészítés összesen</w:t>
            </w:r>
          </w:p>
        </w:tc>
        <w:tc>
          <w:tcPr>
            <w:tcW w:w="754" w:type="pct"/>
            <w:shd w:val="clear" w:color="auto" w:fill="auto"/>
            <w:noWrap/>
            <w:vAlign w:val="bottom"/>
          </w:tcPr>
          <w:p w:rsidR="00AA6591" w:rsidRPr="00D40DC4" w:rsidRDefault="00AA6591" w:rsidP="008F04B5">
            <w:pPr>
              <w:spacing w:after="0"/>
              <w:rPr>
                <w:rFonts w:cs="Arial"/>
                <w:b/>
                <w:szCs w:val="20"/>
              </w:rPr>
            </w:pPr>
          </w:p>
        </w:tc>
        <w:tc>
          <w:tcPr>
            <w:tcW w:w="754" w:type="pct"/>
            <w:vAlign w:val="bottom"/>
          </w:tcPr>
          <w:p w:rsidR="00AA6591" w:rsidRPr="00D40DC4" w:rsidRDefault="00AA6591" w:rsidP="008F04B5">
            <w:pPr>
              <w:spacing w:after="0"/>
              <w:rPr>
                <w:rFonts w:cs="Arial"/>
                <w:b/>
                <w:szCs w:val="20"/>
              </w:rPr>
            </w:pPr>
          </w:p>
        </w:tc>
        <w:tc>
          <w:tcPr>
            <w:tcW w:w="754" w:type="pct"/>
          </w:tcPr>
          <w:p w:rsidR="00AA6591" w:rsidRPr="00D40DC4" w:rsidRDefault="00AA6591" w:rsidP="008F04B5">
            <w:pPr>
              <w:spacing w:after="0"/>
              <w:rPr>
                <w:rFonts w:cs="Arial"/>
                <w:b/>
                <w:szCs w:val="20"/>
              </w:rPr>
            </w:pPr>
          </w:p>
        </w:tc>
        <w:tc>
          <w:tcPr>
            <w:tcW w:w="168" w:type="pct"/>
            <w:shd w:val="clear" w:color="auto" w:fill="auto"/>
            <w:noWrap/>
            <w:vAlign w:val="bottom"/>
          </w:tcPr>
          <w:p w:rsidR="00AA6591" w:rsidRPr="00D40DC4" w:rsidRDefault="00AA6591" w:rsidP="008F04B5">
            <w:pPr>
              <w:spacing w:after="0"/>
              <w:rPr>
                <w:rFonts w:cs="Arial"/>
                <w:b/>
                <w:szCs w:val="20"/>
              </w:rPr>
            </w:pPr>
          </w:p>
        </w:tc>
        <w:tc>
          <w:tcPr>
            <w:tcW w:w="754" w:type="pct"/>
            <w:shd w:val="clear" w:color="auto" w:fill="auto"/>
            <w:noWrap/>
            <w:vAlign w:val="bottom"/>
          </w:tcPr>
          <w:p w:rsidR="00AA6591" w:rsidRPr="00D40DC4" w:rsidRDefault="00AA6591" w:rsidP="008F04B5">
            <w:pPr>
              <w:spacing w:after="0"/>
              <w:rPr>
                <w:rFonts w:cs="Arial"/>
                <w:b/>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Ingatlanvásárlás és kapcsolódó költségek</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Terület előkészítés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Építés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Eszközbeszerzés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Kivitelezés összesen</w:t>
            </w:r>
          </w:p>
        </w:tc>
        <w:tc>
          <w:tcPr>
            <w:tcW w:w="754" w:type="pct"/>
            <w:shd w:val="clear" w:color="auto" w:fill="auto"/>
            <w:noWrap/>
            <w:vAlign w:val="bottom"/>
          </w:tcPr>
          <w:p w:rsidR="00AA6591" w:rsidRPr="00D40DC4" w:rsidRDefault="00AA6591" w:rsidP="008F04B5">
            <w:pPr>
              <w:spacing w:after="0"/>
              <w:rPr>
                <w:rFonts w:cs="Arial"/>
                <w:b/>
                <w:szCs w:val="20"/>
              </w:rPr>
            </w:pPr>
          </w:p>
        </w:tc>
        <w:tc>
          <w:tcPr>
            <w:tcW w:w="754" w:type="pct"/>
            <w:vAlign w:val="bottom"/>
          </w:tcPr>
          <w:p w:rsidR="00AA6591" w:rsidRPr="00D40DC4" w:rsidRDefault="00AA6591" w:rsidP="008F04B5">
            <w:pPr>
              <w:spacing w:after="0"/>
              <w:rPr>
                <w:rFonts w:cs="Arial"/>
                <w:b/>
                <w:szCs w:val="20"/>
              </w:rPr>
            </w:pPr>
          </w:p>
        </w:tc>
        <w:tc>
          <w:tcPr>
            <w:tcW w:w="754" w:type="pct"/>
          </w:tcPr>
          <w:p w:rsidR="00AA6591" w:rsidRPr="00D40DC4" w:rsidRDefault="00AA6591" w:rsidP="008F04B5">
            <w:pPr>
              <w:spacing w:after="0"/>
              <w:rPr>
                <w:rFonts w:cs="Arial"/>
                <w:b/>
                <w:szCs w:val="20"/>
              </w:rPr>
            </w:pPr>
          </w:p>
        </w:tc>
        <w:tc>
          <w:tcPr>
            <w:tcW w:w="168" w:type="pct"/>
            <w:shd w:val="clear" w:color="auto" w:fill="auto"/>
            <w:noWrap/>
            <w:vAlign w:val="bottom"/>
          </w:tcPr>
          <w:p w:rsidR="00AA6591" w:rsidRPr="00D40DC4" w:rsidRDefault="00AA6591" w:rsidP="008F04B5">
            <w:pPr>
              <w:spacing w:after="0"/>
              <w:rPr>
                <w:rFonts w:cs="Arial"/>
                <w:b/>
                <w:szCs w:val="20"/>
              </w:rPr>
            </w:pPr>
          </w:p>
        </w:tc>
        <w:tc>
          <w:tcPr>
            <w:tcW w:w="754" w:type="pct"/>
            <w:shd w:val="clear" w:color="auto" w:fill="auto"/>
            <w:noWrap/>
            <w:vAlign w:val="bottom"/>
          </w:tcPr>
          <w:p w:rsidR="00AA6591" w:rsidRPr="00D40DC4" w:rsidRDefault="00AA6591" w:rsidP="008F04B5">
            <w:pPr>
              <w:spacing w:after="0"/>
              <w:rPr>
                <w:rFonts w:cs="Arial"/>
                <w:b/>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Műszaki ellenőr</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Nyilvánosság</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Könyvvizsgáló</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Projektmenedzsment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Egyéb szolgáltatás</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1"/>
                <w:numId w:val="54"/>
              </w:numPr>
            </w:pPr>
            <w:r w:rsidRPr="00D40DC4">
              <w: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Szolgáltatások összesen</w:t>
            </w:r>
          </w:p>
        </w:tc>
        <w:tc>
          <w:tcPr>
            <w:tcW w:w="754" w:type="pct"/>
            <w:shd w:val="clear" w:color="auto" w:fill="auto"/>
            <w:noWrap/>
            <w:vAlign w:val="bottom"/>
          </w:tcPr>
          <w:p w:rsidR="00AA6591" w:rsidRPr="00D40DC4" w:rsidRDefault="00AA6591" w:rsidP="008F04B5">
            <w:pPr>
              <w:spacing w:after="0"/>
              <w:rPr>
                <w:rFonts w:cs="Arial"/>
                <w:b/>
                <w:szCs w:val="20"/>
              </w:rPr>
            </w:pPr>
          </w:p>
        </w:tc>
        <w:tc>
          <w:tcPr>
            <w:tcW w:w="754" w:type="pct"/>
            <w:vAlign w:val="bottom"/>
          </w:tcPr>
          <w:p w:rsidR="00AA6591" w:rsidRPr="00D40DC4" w:rsidRDefault="00AA6591" w:rsidP="008F04B5">
            <w:pPr>
              <w:spacing w:after="0"/>
              <w:rPr>
                <w:rFonts w:cs="Arial"/>
                <w:b/>
                <w:szCs w:val="20"/>
              </w:rPr>
            </w:pPr>
          </w:p>
        </w:tc>
        <w:tc>
          <w:tcPr>
            <w:tcW w:w="754" w:type="pct"/>
          </w:tcPr>
          <w:p w:rsidR="00AA6591" w:rsidRPr="00D40DC4" w:rsidRDefault="00AA6591" w:rsidP="008F04B5">
            <w:pPr>
              <w:spacing w:after="0"/>
              <w:rPr>
                <w:rFonts w:cs="Arial"/>
                <w:b/>
                <w:szCs w:val="20"/>
              </w:rPr>
            </w:pPr>
          </w:p>
        </w:tc>
        <w:tc>
          <w:tcPr>
            <w:tcW w:w="168" w:type="pct"/>
            <w:shd w:val="clear" w:color="auto" w:fill="auto"/>
            <w:noWrap/>
            <w:vAlign w:val="bottom"/>
          </w:tcPr>
          <w:p w:rsidR="00AA6591" w:rsidRPr="00D40DC4" w:rsidRDefault="00AA6591" w:rsidP="008F04B5">
            <w:pPr>
              <w:spacing w:after="0"/>
              <w:rPr>
                <w:rFonts w:cs="Arial"/>
                <w:b/>
                <w:szCs w:val="20"/>
              </w:rPr>
            </w:pPr>
          </w:p>
        </w:tc>
        <w:tc>
          <w:tcPr>
            <w:tcW w:w="754" w:type="pct"/>
            <w:shd w:val="clear" w:color="auto" w:fill="auto"/>
            <w:noWrap/>
            <w:vAlign w:val="bottom"/>
          </w:tcPr>
          <w:p w:rsidR="00AA6591" w:rsidRPr="00D40DC4" w:rsidRDefault="00AA6591" w:rsidP="008F04B5">
            <w:pPr>
              <w:spacing w:after="0"/>
              <w:rPr>
                <w:rFonts w:cs="Arial"/>
                <w:b/>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DD7E6C">
            <w:pPr>
              <w:numPr>
                <w:ilvl w:val="0"/>
                <w:numId w:val="54"/>
              </w:numPr>
              <w:spacing w:before="60" w:after="60"/>
            </w:pPr>
            <w:r w:rsidRPr="00D40DC4">
              <w:t>Beruházás elszámolható költségei összesen</w:t>
            </w:r>
          </w:p>
        </w:tc>
        <w:tc>
          <w:tcPr>
            <w:tcW w:w="754" w:type="pct"/>
            <w:shd w:val="clear" w:color="auto" w:fill="auto"/>
            <w:noWrap/>
            <w:vAlign w:val="bottom"/>
          </w:tcPr>
          <w:p w:rsidR="00AA6591" w:rsidRPr="00D40DC4" w:rsidRDefault="00AA6591" w:rsidP="008F04B5">
            <w:pPr>
              <w:spacing w:after="0"/>
              <w:rPr>
                <w:rFonts w:cs="Arial"/>
                <w:b/>
                <w:szCs w:val="20"/>
              </w:rPr>
            </w:pPr>
          </w:p>
        </w:tc>
        <w:tc>
          <w:tcPr>
            <w:tcW w:w="754" w:type="pct"/>
            <w:vAlign w:val="bottom"/>
          </w:tcPr>
          <w:p w:rsidR="00AA6591" w:rsidRPr="00D40DC4" w:rsidRDefault="00AA6591" w:rsidP="008F04B5">
            <w:pPr>
              <w:spacing w:after="0"/>
              <w:rPr>
                <w:rFonts w:cs="Arial"/>
                <w:b/>
                <w:szCs w:val="20"/>
              </w:rPr>
            </w:pPr>
          </w:p>
        </w:tc>
        <w:tc>
          <w:tcPr>
            <w:tcW w:w="754" w:type="pct"/>
          </w:tcPr>
          <w:p w:rsidR="00AA6591" w:rsidRPr="00D40DC4" w:rsidRDefault="00AA6591" w:rsidP="008F04B5">
            <w:pPr>
              <w:spacing w:after="0"/>
              <w:rPr>
                <w:rFonts w:cs="Arial"/>
                <w:b/>
                <w:szCs w:val="20"/>
              </w:rPr>
            </w:pPr>
          </w:p>
        </w:tc>
        <w:tc>
          <w:tcPr>
            <w:tcW w:w="168" w:type="pct"/>
            <w:shd w:val="clear" w:color="auto" w:fill="auto"/>
            <w:noWrap/>
            <w:vAlign w:val="bottom"/>
          </w:tcPr>
          <w:p w:rsidR="00AA6591" w:rsidRPr="00D40DC4" w:rsidRDefault="00AA6591" w:rsidP="008F04B5">
            <w:pPr>
              <w:spacing w:after="0"/>
              <w:rPr>
                <w:rFonts w:cs="Arial"/>
                <w:b/>
                <w:szCs w:val="20"/>
              </w:rPr>
            </w:pPr>
          </w:p>
        </w:tc>
        <w:tc>
          <w:tcPr>
            <w:tcW w:w="754" w:type="pct"/>
            <w:shd w:val="clear" w:color="auto" w:fill="auto"/>
            <w:noWrap/>
            <w:vAlign w:val="bottom"/>
          </w:tcPr>
          <w:p w:rsidR="00AA6591" w:rsidRPr="00D40DC4" w:rsidRDefault="00AA6591" w:rsidP="008F04B5">
            <w:pPr>
              <w:spacing w:after="0"/>
              <w:rPr>
                <w:rFonts w:cs="Arial"/>
                <w:b/>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DD7E6C">
            <w:pPr>
              <w:numPr>
                <w:ilvl w:val="1"/>
                <w:numId w:val="54"/>
              </w:numPr>
              <w:spacing w:before="60" w:after="60"/>
            </w:pPr>
            <w:r w:rsidRPr="00D40DC4">
              <w: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DD7E6C">
            <w:pPr>
              <w:numPr>
                <w:ilvl w:val="0"/>
                <w:numId w:val="54"/>
              </w:numPr>
              <w:spacing w:before="60" w:after="60"/>
            </w:pPr>
            <w:r w:rsidRPr="00D40DC4">
              <w:t>Előkészítés nem elszámolható költségei</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1"/>
                <w:numId w:val="54"/>
              </w:numPr>
            </w:pPr>
            <w:r w:rsidRPr="00D40DC4">
              <w: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Kivitelezés nem elszámolható költségei</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1"/>
                <w:numId w:val="54"/>
              </w:numPr>
            </w:pPr>
            <w:r w:rsidRPr="00D40DC4">
              <w:t>…</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Szolgáltatások nem elszámolható költségei</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 xml:space="preserve">Teljes nettó elszámolható beruházási </w:t>
            </w:r>
            <w:r w:rsidR="00CA215D" w:rsidRPr="00D40DC4">
              <w:t xml:space="preserve">költség </w:t>
            </w:r>
            <w:r w:rsidRPr="00D40DC4">
              <w:t xml:space="preserve">tartalék </w:t>
            </w:r>
            <w:r w:rsidR="00CA215D" w:rsidRPr="00D40DC4">
              <w:t>nélkül</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Nem visszaigényelhető ÁFA</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Tartalék</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Tartalékra jutó ÁFA</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Teljes elszámolható költség</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lastRenderedPageBreak/>
              <w:t>Nem elszámolható költség</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Nem elszámolható költségre eső nem visszaigényelhető ÁFA</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r w:rsidR="00AA6591" w:rsidRPr="00D40DC4" w:rsidTr="008F04B5">
        <w:trPr>
          <w:trHeight w:val="255"/>
        </w:trPr>
        <w:tc>
          <w:tcPr>
            <w:tcW w:w="1815" w:type="pct"/>
            <w:shd w:val="clear" w:color="auto" w:fill="auto"/>
            <w:noWrap/>
            <w:vAlign w:val="bottom"/>
          </w:tcPr>
          <w:p w:rsidR="00AA6591" w:rsidRPr="00D40DC4" w:rsidRDefault="00AA6591" w:rsidP="006F2748">
            <w:pPr>
              <w:numPr>
                <w:ilvl w:val="0"/>
                <w:numId w:val="54"/>
              </w:numPr>
            </w:pPr>
            <w:r w:rsidRPr="00D40DC4">
              <w:t>Projekt teljes költsége</w:t>
            </w:r>
          </w:p>
        </w:tc>
        <w:tc>
          <w:tcPr>
            <w:tcW w:w="754" w:type="pct"/>
            <w:shd w:val="clear" w:color="auto" w:fill="auto"/>
            <w:noWrap/>
            <w:vAlign w:val="bottom"/>
          </w:tcPr>
          <w:p w:rsidR="00AA6591" w:rsidRPr="00D40DC4" w:rsidRDefault="00AA6591" w:rsidP="008F04B5">
            <w:pPr>
              <w:spacing w:after="0"/>
              <w:rPr>
                <w:rFonts w:cs="Arial"/>
                <w:szCs w:val="20"/>
              </w:rPr>
            </w:pPr>
          </w:p>
        </w:tc>
        <w:tc>
          <w:tcPr>
            <w:tcW w:w="754" w:type="pct"/>
            <w:vAlign w:val="bottom"/>
          </w:tcPr>
          <w:p w:rsidR="00AA6591" w:rsidRPr="00D40DC4" w:rsidRDefault="00AA6591" w:rsidP="008F04B5">
            <w:pPr>
              <w:spacing w:after="0"/>
              <w:rPr>
                <w:rFonts w:cs="Arial"/>
                <w:szCs w:val="20"/>
              </w:rPr>
            </w:pPr>
          </w:p>
        </w:tc>
        <w:tc>
          <w:tcPr>
            <w:tcW w:w="754" w:type="pct"/>
          </w:tcPr>
          <w:p w:rsidR="00AA6591" w:rsidRPr="00D40DC4" w:rsidRDefault="00AA6591" w:rsidP="008F04B5">
            <w:pPr>
              <w:spacing w:after="0"/>
              <w:rPr>
                <w:rFonts w:cs="Arial"/>
                <w:szCs w:val="20"/>
              </w:rPr>
            </w:pPr>
          </w:p>
        </w:tc>
        <w:tc>
          <w:tcPr>
            <w:tcW w:w="168" w:type="pct"/>
            <w:shd w:val="clear" w:color="auto" w:fill="auto"/>
            <w:noWrap/>
            <w:vAlign w:val="bottom"/>
          </w:tcPr>
          <w:p w:rsidR="00AA6591" w:rsidRPr="00D40DC4" w:rsidRDefault="00AA6591" w:rsidP="008F04B5">
            <w:pPr>
              <w:spacing w:after="0"/>
              <w:rPr>
                <w:rFonts w:cs="Arial"/>
                <w:szCs w:val="20"/>
              </w:rPr>
            </w:pPr>
          </w:p>
        </w:tc>
        <w:tc>
          <w:tcPr>
            <w:tcW w:w="754" w:type="pct"/>
            <w:shd w:val="clear" w:color="auto" w:fill="auto"/>
            <w:noWrap/>
            <w:vAlign w:val="bottom"/>
          </w:tcPr>
          <w:p w:rsidR="00AA6591" w:rsidRPr="00D40DC4" w:rsidRDefault="00AA6591" w:rsidP="008F04B5">
            <w:pPr>
              <w:spacing w:after="0"/>
              <w:rPr>
                <w:rFonts w:cs="Arial"/>
                <w:szCs w:val="20"/>
              </w:rPr>
            </w:pPr>
          </w:p>
        </w:tc>
      </w:tr>
    </w:tbl>
    <w:p w:rsidR="00322396" w:rsidRPr="00D40DC4" w:rsidRDefault="00322396" w:rsidP="00971400">
      <w:pPr>
        <w:rPr>
          <w:rFonts w:cs="Arial"/>
        </w:rPr>
      </w:pPr>
    </w:p>
    <w:p w:rsidR="00322396" w:rsidRPr="00D40DC4" w:rsidRDefault="00322396" w:rsidP="005A76C2">
      <w:pPr>
        <w:pStyle w:val="Cmsor4"/>
      </w:pPr>
      <w:bookmarkStart w:id="480" w:name="_Ref428192057"/>
      <w:r w:rsidRPr="00D40DC4">
        <w:t>A beruházási költségek becslése</w:t>
      </w:r>
      <w:bookmarkEnd w:id="480"/>
    </w:p>
    <w:p w:rsidR="00322396" w:rsidRPr="00D40DC4" w:rsidRDefault="00322396" w:rsidP="00221929">
      <w:pPr>
        <w:rPr>
          <w:rFonts w:cs="Arial"/>
        </w:rPr>
      </w:pPr>
      <w:r w:rsidRPr="00D40DC4">
        <w:rPr>
          <w:rFonts w:cs="Arial"/>
        </w:rPr>
        <w:t xml:space="preserve">A beruházási költségeknek a megvalósíthatósági tanulmánnyal összhangban kell szerepelni az elemzésben. Ez az egyes projektek esetében természetesen kiegészítésre, módosításra kerülhet, azonban az alapstruktúrát lehetőség szerint meg kell őrizni. A tervezői költségbecslésnek ennél részletesebbnek kell lennie, valamint az alábbi táblázatban bemutatott struktúrával és a pályázati formanyomtatvánnyal összeegyeztethetőnek kell lennie. </w:t>
      </w:r>
    </w:p>
    <w:p w:rsidR="00322396" w:rsidRPr="00D40DC4" w:rsidRDefault="00322396" w:rsidP="00221929">
      <w:pPr>
        <w:rPr>
          <w:rFonts w:cs="Arial"/>
          <w:b/>
        </w:rPr>
      </w:pPr>
      <w:r w:rsidRPr="00D40DC4">
        <w:rPr>
          <w:rFonts w:cs="Arial"/>
          <w:b/>
        </w:rPr>
        <w:t>A szükséges inputok az alábbiak:</w:t>
      </w:r>
    </w:p>
    <w:p w:rsidR="00322396" w:rsidRPr="00D40DC4" w:rsidRDefault="00322396" w:rsidP="006F2748">
      <w:pPr>
        <w:numPr>
          <w:ilvl w:val="0"/>
          <w:numId w:val="36"/>
        </w:numPr>
        <w:contextualSpacing/>
        <w:rPr>
          <w:rFonts w:cs="Arial"/>
        </w:rPr>
      </w:pPr>
      <w:r w:rsidRPr="00D40DC4">
        <w:rPr>
          <w:rFonts w:cs="Arial"/>
        </w:rPr>
        <w:t xml:space="preserve">a kedvezményezett a jogszabályok szerint </w:t>
      </w:r>
      <w:r w:rsidR="006D7667" w:rsidRPr="00D40DC4">
        <w:rPr>
          <w:rFonts w:cs="Arial"/>
        </w:rPr>
        <w:t>ÁFA</w:t>
      </w:r>
      <w:r w:rsidR="00C55627" w:rsidRPr="00D40DC4">
        <w:rPr>
          <w:rFonts w:cs="Arial"/>
        </w:rPr>
        <w:t>-</w:t>
      </w:r>
      <w:r w:rsidRPr="00D40DC4">
        <w:rPr>
          <w:rFonts w:cs="Arial"/>
        </w:rPr>
        <w:t>visszaigénylő vagy sem;</w:t>
      </w:r>
    </w:p>
    <w:p w:rsidR="00322396" w:rsidRPr="00D40DC4" w:rsidRDefault="00322396" w:rsidP="006F2748">
      <w:pPr>
        <w:numPr>
          <w:ilvl w:val="0"/>
          <w:numId w:val="36"/>
        </w:numPr>
        <w:contextualSpacing/>
        <w:rPr>
          <w:rFonts w:cs="Arial"/>
        </w:rPr>
      </w:pPr>
      <w:r w:rsidRPr="00D40DC4">
        <w:rPr>
          <w:rFonts w:cs="Arial"/>
        </w:rPr>
        <w:t xml:space="preserve">az </w:t>
      </w:r>
      <w:r w:rsidR="006D7667" w:rsidRPr="00D40DC4">
        <w:rPr>
          <w:rFonts w:cs="Arial"/>
        </w:rPr>
        <w:t>ÁFA</w:t>
      </w:r>
      <w:r w:rsidR="00C55627" w:rsidRPr="00D40DC4">
        <w:rPr>
          <w:rFonts w:cs="Arial"/>
        </w:rPr>
        <w:t xml:space="preserve"> </w:t>
      </w:r>
      <w:r w:rsidRPr="00D40DC4">
        <w:rPr>
          <w:rFonts w:cs="Arial"/>
        </w:rPr>
        <w:t>kezelési módjának meghatározása a</w:t>
      </w:r>
      <w:r w:rsidR="00F13CF6" w:rsidRPr="00D40DC4">
        <w:rPr>
          <w:rFonts w:cs="Arial"/>
        </w:rPr>
        <w:t>z</w:t>
      </w:r>
      <w:r w:rsidRPr="00D40DC4">
        <w:rPr>
          <w:rFonts w:cs="Arial"/>
        </w:rPr>
        <w:t xml:space="preserve"> </w:t>
      </w:r>
      <w:r w:rsidR="00F13CF6" w:rsidRPr="00D40DC4">
        <w:rPr>
          <w:rFonts w:cs="Arial"/>
        </w:rPr>
        <w:fldChar w:fldCharType="begin"/>
      </w:r>
      <w:r w:rsidR="00F13CF6" w:rsidRPr="00D40DC4">
        <w:rPr>
          <w:rFonts w:cs="Arial"/>
        </w:rPr>
        <w:instrText xml:space="preserve"> REF _Ref428368764 \r \h  \* MERGEFORMAT </w:instrText>
      </w:r>
      <w:r w:rsidR="00F13CF6" w:rsidRPr="00D40DC4">
        <w:rPr>
          <w:rFonts w:cs="Arial"/>
        </w:rPr>
      </w:r>
      <w:r w:rsidR="00F13CF6" w:rsidRPr="00D40DC4">
        <w:rPr>
          <w:rFonts w:cs="Arial"/>
        </w:rPr>
        <w:fldChar w:fldCharType="separate"/>
      </w:r>
      <w:r w:rsidR="007B4938" w:rsidRPr="00D40DC4">
        <w:rPr>
          <w:rFonts w:cs="Arial"/>
        </w:rPr>
        <w:t>0</w:t>
      </w:r>
      <w:r w:rsidR="00F13CF6" w:rsidRPr="00D40DC4">
        <w:rPr>
          <w:rFonts w:cs="Arial"/>
        </w:rPr>
        <w:fldChar w:fldCharType="end"/>
      </w:r>
      <w:r w:rsidR="00F13CF6" w:rsidRPr="00D40DC4">
        <w:rPr>
          <w:rFonts w:cs="Arial"/>
        </w:rPr>
        <w:t xml:space="preserve">. </w:t>
      </w:r>
      <w:r w:rsidRPr="00D40DC4">
        <w:rPr>
          <w:rFonts w:cs="Arial"/>
        </w:rPr>
        <w:t>fejezet alapján;</w:t>
      </w:r>
    </w:p>
    <w:p w:rsidR="00322396" w:rsidRPr="00D40DC4" w:rsidRDefault="00322396" w:rsidP="006F2748">
      <w:pPr>
        <w:numPr>
          <w:ilvl w:val="0"/>
          <w:numId w:val="36"/>
        </w:numPr>
        <w:contextualSpacing/>
        <w:rPr>
          <w:rFonts w:cs="Arial"/>
        </w:rPr>
      </w:pPr>
      <w:r w:rsidRPr="00D40DC4">
        <w:rPr>
          <w:rFonts w:cs="Arial"/>
        </w:rPr>
        <w:t>a beruházási tevékenységek időbeni ütemezése;</w:t>
      </w:r>
    </w:p>
    <w:p w:rsidR="00322396" w:rsidRPr="00D40DC4" w:rsidRDefault="00322396" w:rsidP="006F2748">
      <w:pPr>
        <w:numPr>
          <w:ilvl w:val="0"/>
          <w:numId w:val="36"/>
        </w:numPr>
        <w:contextualSpacing/>
        <w:rPr>
          <w:rFonts w:cs="Arial"/>
        </w:rPr>
      </w:pPr>
      <w:r w:rsidRPr="00D40DC4">
        <w:rPr>
          <w:rFonts w:cs="Arial"/>
        </w:rPr>
        <w:t>a beruházás során felhasznált erőforrások (munkaerő, anyagok, energia, földterület stb.) és beszerzett gépek / berendezések mennyiségének, valamint a kiépített létesítmények mennyiségi jellemzőinek becslése (meghatározott struktúrában);</w:t>
      </w:r>
    </w:p>
    <w:p w:rsidR="00C55627" w:rsidRPr="00D40DC4" w:rsidRDefault="00322396" w:rsidP="006F2748">
      <w:pPr>
        <w:numPr>
          <w:ilvl w:val="0"/>
          <w:numId w:val="36"/>
        </w:numPr>
        <w:contextualSpacing/>
        <w:rPr>
          <w:rFonts w:cs="Arial"/>
        </w:rPr>
      </w:pPr>
      <w:r w:rsidRPr="00D40DC4">
        <w:rPr>
          <w:rFonts w:cs="Arial"/>
        </w:rPr>
        <w:t>a fenti mennyiségekhez rendelhető fajlagos költségek (meghatározott struktúrában);</w:t>
      </w:r>
    </w:p>
    <w:p w:rsidR="00C55627" w:rsidRPr="00D40DC4" w:rsidRDefault="00C55627" w:rsidP="006F2748">
      <w:pPr>
        <w:numPr>
          <w:ilvl w:val="0"/>
          <w:numId w:val="36"/>
        </w:numPr>
        <w:contextualSpacing/>
        <w:rPr>
          <w:rFonts w:cs="Arial"/>
        </w:rPr>
      </w:pPr>
      <w:r w:rsidRPr="00D40DC4">
        <w:rPr>
          <w:rFonts w:cs="Arial"/>
        </w:rPr>
        <w:t>az egyes releváns költségelemekhez rendelhető kockázat, illetve valószínűség eloszlás.</w:t>
      </w:r>
    </w:p>
    <w:p w:rsidR="00322396" w:rsidRPr="00D40DC4" w:rsidRDefault="00322396" w:rsidP="00221929">
      <w:pPr>
        <w:rPr>
          <w:rFonts w:cs="Arial"/>
        </w:rPr>
      </w:pPr>
      <w:r w:rsidRPr="00D40DC4">
        <w:rPr>
          <w:rFonts w:cs="Arial"/>
        </w:rPr>
        <w:t>A beruházási költségeket fizikai mértékegységben és változatlan áron a tervezői költségbecslés és a megvalósíthatósági tanulmány adja meg</w:t>
      </w:r>
      <w:r w:rsidR="00385AF2" w:rsidRPr="00D40DC4">
        <w:rPr>
          <w:rFonts w:cs="Arial"/>
        </w:rPr>
        <w:t xml:space="preserve"> az adott előkészítettségi állapotnak megfelelően</w:t>
      </w:r>
      <w:r w:rsidRPr="00D40DC4">
        <w:rPr>
          <w:rFonts w:cs="Arial"/>
        </w:rPr>
        <w:t>. A beruházási költségek becslése a műszaki alapadatok alapján becsült, illetve számított mennyiségek, valamint a fő mennyiségekre vonatkozó egységárak felhasználásával történik.</w:t>
      </w:r>
    </w:p>
    <w:p w:rsidR="00322396" w:rsidRPr="00D40DC4" w:rsidRDefault="00322396" w:rsidP="005A76C2">
      <w:pPr>
        <w:pStyle w:val="Cmsor4"/>
      </w:pPr>
      <w:r w:rsidRPr="00D40DC4">
        <w:t>Számítási módszer</w:t>
      </w:r>
    </w:p>
    <w:p w:rsidR="00322396" w:rsidRPr="00D40DC4" w:rsidRDefault="00322396" w:rsidP="00221929">
      <w:pPr>
        <w:rPr>
          <w:rFonts w:cs="Arial"/>
        </w:rPr>
      </w:pPr>
      <w:r w:rsidRPr="00D40DC4">
        <w:rPr>
          <w:rFonts w:cs="Arial"/>
        </w:rPr>
        <w:t>Az egyes beruházási elemek mennyiségének és fajlagos költségének szorzataként adódik az adott beruházási elemek teljes be</w:t>
      </w:r>
      <w:r w:rsidR="00946AB4" w:rsidRPr="00D40DC4">
        <w:rPr>
          <w:rFonts w:cs="Arial"/>
        </w:rPr>
        <w:t>ruházási költsége. Ezt a költsé</w:t>
      </w:r>
      <w:r w:rsidRPr="00D40DC4">
        <w:rPr>
          <w:rFonts w:cs="Arial"/>
        </w:rPr>
        <w:t>get a fent említett ütemezésnek megfelelően szét kell osztani a beruházási időszak egyes éveire.</w:t>
      </w:r>
    </w:p>
    <w:p w:rsidR="00322396" w:rsidRPr="00D40DC4" w:rsidRDefault="00905B20" w:rsidP="00221929">
      <w:pPr>
        <w:rPr>
          <w:rFonts w:cs="Arial"/>
        </w:rPr>
      </w:pPr>
      <w:r w:rsidRPr="00D40DC4">
        <w:rPr>
          <w:rFonts w:cs="Arial"/>
        </w:rPr>
        <w:t>Különbözet</w:t>
      </w:r>
      <w:r w:rsidR="00322396" w:rsidRPr="00D40DC4">
        <w:rPr>
          <w:rFonts w:cs="Arial"/>
        </w:rPr>
        <w:t>i módszer alkalmazása esetén az elemzésben a projekt beruházási költségkülönbözetét kell kiszámítani. A költségkülönbözet a projekt megvalósulása esetén, illetve a projekt elmaradása esetén felmerülő beruházási költségek különbségeként adódik. A pénzügyi fenntarthatóság vizsgálatánál a projekt megvalósulása esetén felmerülő teljes beruházási költséget kell figyelembe venni.</w:t>
      </w:r>
    </w:p>
    <w:p w:rsidR="00322396" w:rsidRPr="00D40DC4" w:rsidRDefault="00322396" w:rsidP="005A76C2">
      <w:pPr>
        <w:pStyle w:val="Cmsor4"/>
      </w:pPr>
      <w:r w:rsidRPr="00D40DC4">
        <w:t>Outputok</w:t>
      </w:r>
    </w:p>
    <w:p w:rsidR="00322396" w:rsidRPr="00D40DC4" w:rsidRDefault="00322396" w:rsidP="00221929">
      <w:pPr>
        <w:rPr>
          <w:rFonts w:cs="Arial"/>
        </w:rPr>
      </w:pPr>
      <w:r w:rsidRPr="00D40DC4">
        <w:rPr>
          <w:rFonts w:cs="Arial"/>
        </w:rPr>
        <w:t xml:space="preserve">Az egyes projektek beruházási költségeit a </w:t>
      </w:r>
      <w:r w:rsidR="00BA146F" w:rsidRPr="00D40DC4">
        <w:rPr>
          <w:rFonts w:cs="Arial"/>
        </w:rPr>
        <w:t>támogatási kérelemre</w:t>
      </w:r>
      <w:r w:rsidRPr="00D40DC4">
        <w:rPr>
          <w:rFonts w:cs="Arial"/>
        </w:rPr>
        <w:t xml:space="preserve"> és megvalósíthatósági tanulmány </w:t>
      </w:r>
      <w:r w:rsidR="00BA146F" w:rsidRPr="00D40DC4">
        <w:rPr>
          <w:rFonts w:cs="Arial"/>
        </w:rPr>
        <w:t xml:space="preserve">jellegű dokumentumok </w:t>
      </w:r>
      <w:r w:rsidRPr="00D40DC4">
        <w:rPr>
          <w:rFonts w:cs="Arial"/>
        </w:rPr>
        <w:t>készítés</w:t>
      </w:r>
      <w:r w:rsidR="00BA146F" w:rsidRPr="00D40DC4">
        <w:rPr>
          <w:rFonts w:cs="Arial"/>
        </w:rPr>
        <w:t>ére vonatkozó</w:t>
      </w:r>
      <w:r w:rsidRPr="00D40DC4">
        <w:rPr>
          <w:rFonts w:cs="Arial"/>
        </w:rPr>
        <w:t xml:space="preserve"> útmutatók szerinti bontásban kell megadni. </w:t>
      </w:r>
    </w:p>
    <w:p w:rsidR="007C2AEC" w:rsidRPr="00D40DC4" w:rsidRDefault="007C2AEC" w:rsidP="00DD7E6C">
      <w:pPr>
        <w:pStyle w:val="Cmsor3"/>
      </w:pPr>
      <w:bookmarkStart w:id="481" w:name="_Toc428779117"/>
      <w:bookmarkStart w:id="482" w:name="_Toc436923897"/>
      <w:bookmarkStart w:id="483" w:name="_Toc177825051"/>
      <w:bookmarkStart w:id="484" w:name="_Toc241657524"/>
      <w:bookmarkStart w:id="485" w:name="_Toc228260746"/>
      <w:bookmarkStart w:id="486" w:name="_Ref428192146"/>
      <w:bookmarkStart w:id="487" w:name="_Ref428192155"/>
      <w:bookmarkStart w:id="488" w:name="_Ref428258285"/>
      <w:r w:rsidRPr="00D40DC4">
        <w:t>Működési költségek becslése</w:t>
      </w:r>
      <w:bookmarkEnd w:id="481"/>
      <w:bookmarkEnd w:id="482"/>
    </w:p>
    <w:p w:rsidR="007C2AEC" w:rsidRPr="00D40DC4" w:rsidRDefault="007C2AEC" w:rsidP="007C2AEC">
      <w:pPr>
        <w:pStyle w:val="Cmsor7"/>
      </w:pPr>
      <w:r w:rsidRPr="00D40DC4">
        <w:t>Egyszerűsítés a működési költségek becslésekor</w:t>
      </w:r>
    </w:p>
    <w:p w:rsidR="007C2AEC" w:rsidRPr="00D40DC4" w:rsidRDefault="007C2AEC" w:rsidP="007C2AEC">
      <w:pPr>
        <w:rPr>
          <w:rFonts w:cs="Arial"/>
        </w:rPr>
      </w:pPr>
      <w:r w:rsidRPr="00D40DC4">
        <w:rPr>
          <w:rFonts w:cs="Arial"/>
        </w:rPr>
        <w:t>Amennyiben a projekthez készült üzleti terv és az a projekt teljesítményének naturáliáit részletesen tartalmazza (pl. részletes létszámterv, erőforrásterv stb.), akkor az üzemeltetési és karbantartási költség becsülhető az alapján is. A fajlagos költségek bemutatása ekkor is szükséges.</w:t>
      </w:r>
    </w:p>
    <w:p w:rsidR="007C2AEC" w:rsidRPr="00D40DC4" w:rsidRDefault="007C2AEC" w:rsidP="007C2AEC">
      <w:pPr>
        <w:rPr>
          <w:rFonts w:cs="Arial"/>
        </w:rPr>
      </w:pPr>
      <w:r w:rsidRPr="00D40DC4">
        <w:rPr>
          <w:rFonts w:cs="Arial"/>
        </w:rPr>
        <w:t>Lehetőség van az üzemeltetési és karbantartási költségek összevont bemutatására is – ez történhet akár egyetlen sorban is; ebben az esetben is ki kell fejteni a becslés módszertanát illetve a becsléshez felhasznált input adatokat.</w:t>
      </w:r>
    </w:p>
    <w:p w:rsidR="007C2AEC" w:rsidRPr="00D40DC4" w:rsidRDefault="007C2AEC" w:rsidP="007C2AEC">
      <w:pPr>
        <w:rPr>
          <w:rFonts w:cs="Arial"/>
        </w:rPr>
      </w:pPr>
      <w:r w:rsidRPr="00D40DC4">
        <w:rPr>
          <w:rFonts w:cs="Arial"/>
        </w:rPr>
        <w:t>A pótlási költség becslésekor egyszerűsítésként ajánlható az értékcsökkenési leírás alkalmazása – vagy mint éves átlagos várható pótlási költségként vagy a halmozott értékcsökkenés valós pénzmozgás felmerüléskori elszámolása.</w:t>
      </w:r>
    </w:p>
    <w:p w:rsidR="007C2AEC" w:rsidRPr="00D40DC4" w:rsidRDefault="007C2AEC" w:rsidP="005A76C2">
      <w:pPr>
        <w:pStyle w:val="Cmsor4"/>
      </w:pPr>
      <w:r w:rsidRPr="00D40DC4">
        <w:lastRenderedPageBreak/>
        <w:t>Általános szabályok</w:t>
      </w:r>
    </w:p>
    <w:p w:rsidR="007C2AEC" w:rsidRPr="00D40DC4" w:rsidRDefault="007C2AEC" w:rsidP="007C2AEC">
      <w:pPr>
        <w:rPr>
          <w:rFonts w:cs="Arial"/>
        </w:rPr>
      </w:pPr>
      <w:r w:rsidRPr="00D40DC4">
        <w:rPr>
          <w:rFonts w:cs="Arial"/>
        </w:rPr>
        <w:t>A működési költség az EU útmutatók alapján az alábbiak lehetnek:</w:t>
      </w:r>
    </w:p>
    <w:p w:rsidR="007C2AEC" w:rsidRPr="00D40DC4" w:rsidRDefault="007C2AEC" w:rsidP="006C5A6D">
      <w:pPr>
        <w:numPr>
          <w:ilvl w:val="0"/>
          <w:numId w:val="12"/>
        </w:numPr>
      </w:pPr>
      <w:r w:rsidRPr="00D40DC4">
        <w:t>üzemeltetési költség (operational cost);</w:t>
      </w:r>
    </w:p>
    <w:p w:rsidR="007C2AEC" w:rsidRPr="00D40DC4" w:rsidRDefault="007C2AEC" w:rsidP="006C5A6D">
      <w:pPr>
        <w:numPr>
          <w:ilvl w:val="0"/>
          <w:numId w:val="12"/>
        </w:numPr>
      </w:pPr>
      <w:r w:rsidRPr="00D40DC4">
        <w:t>karbantartási költség (maintenance cost).</w:t>
      </w:r>
    </w:p>
    <w:p w:rsidR="007C2AEC" w:rsidRPr="00D40DC4" w:rsidRDefault="007C2AEC" w:rsidP="006C5A6D">
      <w:pPr>
        <w:numPr>
          <w:ilvl w:val="0"/>
          <w:numId w:val="12"/>
        </w:numPr>
      </w:pPr>
      <w:r w:rsidRPr="00D40DC4">
        <w:t>pótlási költség (replacement cost)</w:t>
      </w:r>
    </w:p>
    <w:p w:rsidR="007C2AEC" w:rsidRPr="00D40DC4" w:rsidRDefault="007C2AEC" w:rsidP="007C2AEC">
      <w:pPr>
        <w:rPr>
          <w:rFonts w:cs="Arial"/>
        </w:rPr>
      </w:pPr>
      <w:r w:rsidRPr="00D40DC4">
        <w:rPr>
          <w:rFonts w:cs="Arial"/>
        </w:rPr>
        <w:fldChar w:fldCharType="begin"/>
      </w:r>
      <w:r w:rsidRPr="00D40DC4">
        <w:rPr>
          <w:rFonts w:cs="Arial"/>
        </w:rPr>
        <w:instrText xml:space="preserve"> SEQ ábra \* ARABIC </w:instrText>
      </w:r>
      <w:r w:rsidRPr="00D40DC4">
        <w:rPr>
          <w:rFonts w:cs="Arial"/>
        </w:rPr>
        <w:fldChar w:fldCharType="separate"/>
      </w:r>
      <w:bookmarkStart w:id="489" w:name="_Toc436923931"/>
      <w:r w:rsidR="007B4938" w:rsidRPr="00D40DC4">
        <w:rPr>
          <w:rFonts w:cs="Arial"/>
          <w:noProof/>
        </w:rPr>
        <w:t>5</w:t>
      </w:r>
      <w:r w:rsidRPr="00D40DC4">
        <w:rPr>
          <w:rFonts w:cs="Arial"/>
        </w:rPr>
        <w:fldChar w:fldCharType="end"/>
      </w:r>
      <w:r w:rsidRPr="00D40DC4">
        <w:rPr>
          <w:rFonts w:cs="Arial"/>
        </w:rPr>
        <w:t>. ábra: A működési költségek csoportosítása</w:t>
      </w:r>
      <w:bookmarkEnd w:id="489"/>
    </w:p>
    <w:p w:rsidR="007C2AEC" w:rsidRPr="00D40DC4" w:rsidRDefault="007C2AEC" w:rsidP="007C2AEC">
      <w:pPr>
        <w:rPr>
          <w:rFonts w:cs="Arial"/>
        </w:rPr>
      </w:pPr>
      <w:r w:rsidRPr="00D40DC4">
        <w:rPr>
          <w:rFonts w:cs="Arial"/>
          <w:noProof/>
          <w:lang w:eastAsia="hu-HU"/>
        </w:rPr>
        <mc:AlternateContent>
          <mc:Choice Requires="wpc">
            <w:drawing>
              <wp:inline distT="0" distB="0" distL="0" distR="0" wp14:anchorId="35BF7C1D" wp14:editId="0E0934B6">
                <wp:extent cx="5723890" cy="3162300"/>
                <wp:effectExtent l="0" t="0" r="10160" b="0"/>
                <wp:docPr id="47" name="Vászon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3" name="Lekerekített téglalap 33"/>
                        <wps:cNvSpPr/>
                        <wps:spPr>
                          <a:xfrm>
                            <a:off x="1408858" y="19050"/>
                            <a:ext cx="4314841" cy="619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Működési költség</w:t>
                              </w:r>
                            </w:p>
                            <w:p w:rsidR="00657272" w:rsidRPr="00F74D8F" w:rsidRDefault="00657272" w:rsidP="007C2AEC">
                              <w:pPr>
                                <w:spacing w:after="0"/>
                                <w:jc w:val="center"/>
                                <w:rPr>
                                  <w:szCs w:val="20"/>
                                </w:rPr>
                              </w:pPr>
                              <w:r w:rsidRPr="00F74D8F">
                                <w:rPr>
                                  <w:szCs w:val="20"/>
                                </w:rPr>
                                <w:t>(</w:t>
                              </w:r>
                              <w:r>
                                <w:rPr>
                                  <w:szCs w:val="20"/>
                                </w:rPr>
                                <w:t xml:space="preserve">operational and maintenance = </w:t>
                              </w:r>
                              <w:r w:rsidRPr="00F74D8F">
                                <w:rPr>
                                  <w:szCs w:val="20"/>
                                </w:rPr>
                                <w:t>O&amp;M and replacement cost)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5" name="Lekerekített téglalap 35"/>
                        <wps:cNvSpPr/>
                        <wps:spPr>
                          <a:xfrm>
                            <a:off x="1408571" y="780913"/>
                            <a:ext cx="1391780" cy="73356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Üzemeltetési költség</w:t>
                              </w:r>
                            </w:p>
                            <w:p w:rsidR="00657272" w:rsidRPr="00385AF2" w:rsidRDefault="00657272" w:rsidP="007C2AEC">
                              <w:pPr>
                                <w:spacing w:after="0"/>
                                <w:jc w:val="center"/>
                                <w:rPr>
                                  <w:szCs w:val="20"/>
                                </w:rPr>
                              </w:pPr>
                              <w:r w:rsidRPr="00385AF2">
                                <w:rPr>
                                  <w:szCs w:val="20"/>
                                </w:rPr>
                                <w:t>(operational cost)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8" name="Lekerekített téglalap 38"/>
                        <wps:cNvSpPr/>
                        <wps:spPr>
                          <a:xfrm>
                            <a:off x="2875228" y="780913"/>
                            <a:ext cx="1391780" cy="73356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Karbantartási költség</w:t>
                              </w:r>
                            </w:p>
                            <w:p w:rsidR="00657272" w:rsidRPr="00F74D8F" w:rsidRDefault="00657272" w:rsidP="007C2AEC">
                              <w:pPr>
                                <w:spacing w:after="0"/>
                                <w:jc w:val="center"/>
                                <w:rPr>
                                  <w:szCs w:val="20"/>
                                </w:rPr>
                              </w:pPr>
                              <w:r w:rsidRPr="008F04B5">
                                <w:rPr>
                                  <w:szCs w:val="20"/>
                                </w:rPr>
                                <w:t>(maintenance cost)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9" name="Lekerekített téglalap 39"/>
                        <wps:cNvSpPr/>
                        <wps:spPr>
                          <a:xfrm>
                            <a:off x="4331919" y="781319"/>
                            <a:ext cx="1391780" cy="73356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Pótlási költség</w:t>
                              </w:r>
                            </w:p>
                            <w:p w:rsidR="00657272" w:rsidRPr="00F74D8F" w:rsidRDefault="00657272" w:rsidP="007C2AEC">
                              <w:pPr>
                                <w:spacing w:after="0"/>
                                <w:jc w:val="center"/>
                                <w:rPr>
                                  <w:szCs w:val="20"/>
                                </w:rPr>
                              </w:pPr>
                              <w:r w:rsidRPr="008F04B5">
                                <w:rPr>
                                  <w:szCs w:val="20"/>
                                </w:rPr>
                                <w:t>(replacement cost)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0" name="Lekerekített téglalap 40"/>
                        <wps:cNvSpPr/>
                        <wps:spPr>
                          <a:xfrm>
                            <a:off x="3573032" y="1638316"/>
                            <a:ext cx="2150667" cy="73313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Fenntartási költség</w:t>
                              </w:r>
                            </w:p>
                            <w:p w:rsidR="00657272" w:rsidRPr="00F74D8F" w:rsidRDefault="00657272" w:rsidP="007C2AEC">
                              <w:pPr>
                                <w:spacing w:after="0"/>
                                <w:jc w:val="center"/>
                                <w:rPr>
                                  <w:szCs w:val="20"/>
                                </w:rPr>
                              </w:pPr>
                              <w:r w:rsidRPr="008F04B5">
                                <w:rPr>
                                  <w:szCs w:val="20"/>
                                </w:rPr>
                                <w:t>(maintenance cost egy része és replacement cost</w:t>
                              </w:r>
                              <w:r w:rsidRPr="00EB31EC">
                                <w:rPr>
                                  <w:szCs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1" name="Lekerekített téglalap 41"/>
                        <wps:cNvSpPr/>
                        <wps:spPr>
                          <a:xfrm>
                            <a:off x="1408440" y="1638594"/>
                            <a:ext cx="2101165" cy="73327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Üzemeltetési költség</w:t>
                              </w:r>
                            </w:p>
                            <w:p w:rsidR="00657272" w:rsidRPr="00F74D8F" w:rsidRDefault="00657272" w:rsidP="007C2AEC">
                              <w:pPr>
                                <w:spacing w:after="0"/>
                                <w:jc w:val="center"/>
                                <w:rPr>
                                  <w:szCs w:val="20"/>
                                </w:rPr>
                              </w:pPr>
                              <w:r w:rsidRPr="008F04B5">
                                <w:rPr>
                                  <w:szCs w:val="20"/>
                                </w:rPr>
                                <w:t>(operating cost és a maintenace cost egy része)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2" name="Lekerekített téglalap 42"/>
                        <wps:cNvSpPr/>
                        <wps:spPr>
                          <a:xfrm>
                            <a:off x="3369964" y="2495550"/>
                            <a:ext cx="2353735" cy="61953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Felújítás</w:t>
                              </w:r>
                            </w:p>
                            <w:p w:rsidR="00657272" w:rsidRPr="00F74D8F" w:rsidRDefault="00657272" w:rsidP="007C2AEC">
                              <w:pPr>
                                <w:spacing w:after="0"/>
                                <w:jc w:val="center"/>
                                <w:rPr>
                                  <w:szCs w:val="20"/>
                                </w:rPr>
                              </w:pPr>
                              <w:r w:rsidRPr="008F04B5">
                                <w:rPr>
                                  <w:szCs w:val="20"/>
                                </w:rPr>
                                <w:t>(aktiválandó</w:t>
                              </w:r>
                              <w:r>
                                <w:rPr>
                                  <w:szCs w:val="20"/>
                                </w:rPr>
                                <w:t>, beruházás jellegű</w:t>
                              </w:r>
                              <w:r w:rsidRPr="008F04B5">
                                <w:rPr>
                                  <w:szCs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3" name="Lekerekített téglalap 43"/>
                        <wps:cNvSpPr/>
                        <wps:spPr>
                          <a:xfrm>
                            <a:off x="1408441" y="2495550"/>
                            <a:ext cx="1867968" cy="61953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7272" w:rsidRPr="00F74D8F" w:rsidRDefault="00657272" w:rsidP="007C2AEC">
                              <w:pPr>
                                <w:spacing w:after="0"/>
                                <w:jc w:val="center"/>
                                <w:rPr>
                                  <w:b/>
                                  <w:szCs w:val="20"/>
                                </w:rPr>
                              </w:pPr>
                              <w:r w:rsidRPr="00F74D8F">
                                <w:rPr>
                                  <w:b/>
                                  <w:szCs w:val="20"/>
                                </w:rPr>
                                <w:t xml:space="preserve">Költség </w:t>
                              </w:r>
                            </w:p>
                            <w:p w:rsidR="00657272" w:rsidRPr="00F74D8F" w:rsidRDefault="00657272" w:rsidP="007C2AEC">
                              <w:pPr>
                                <w:spacing w:after="0"/>
                                <w:jc w:val="center"/>
                                <w:rPr>
                                  <w:szCs w:val="20"/>
                                </w:rPr>
                              </w:pPr>
                              <w:r>
                                <w:rPr>
                                  <w:szCs w:val="20"/>
                                </w:rPr>
                                <w:t>(beleértve a karbantartási költséget)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4" name="Lekerekített téglalap 44"/>
                        <wps:cNvSpPr/>
                        <wps:spPr>
                          <a:xfrm>
                            <a:off x="16943" y="2495609"/>
                            <a:ext cx="1202257" cy="619531"/>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657272" w:rsidRPr="00DD7E6C" w:rsidRDefault="00657272" w:rsidP="007C2AEC">
                              <w:pPr>
                                <w:spacing w:after="0"/>
                                <w:jc w:val="center"/>
                                <w:rPr>
                                  <w:b/>
                                  <w:szCs w:val="20"/>
                                </w:rPr>
                              </w:pPr>
                              <w:r w:rsidRPr="00DD7E6C">
                                <w:rPr>
                                  <w:b/>
                                  <w:szCs w:val="20"/>
                                </w:rPr>
                                <w:t>Számviteli szempontból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5" name="Lekerekített téglalap 45"/>
                        <wps:cNvSpPr/>
                        <wps:spPr>
                          <a:xfrm>
                            <a:off x="16943" y="1638317"/>
                            <a:ext cx="1188163" cy="733132"/>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657272" w:rsidRPr="00DD7E6C" w:rsidRDefault="00657272" w:rsidP="007C2AEC">
                              <w:pPr>
                                <w:spacing w:after="0"/>
                                <w:jc w:val="center"/>
                                <w:rPr>
                                  <w:b/>
                                  <w:szCs w:val="20"/>
                                </w:rPr>
                              </w:pPr>
                              <w:r>
                                <w:rPr>
                                  <w:b/>
                                  <w:szCs w:val="20"/>
                                </w:rPr>
                                <w:t>Ü</w:t>
                              </w:r>
                              <w:r w:rsidRPr="00DD7E6C">
                                <w:rPr>
                                  <w:b/>
                                  <w:szCs w:val="20"/>
                                </w:rPr>
                                <w:t>zemgazdasági szempontból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6" name="Lekerekített téglalap 46"/>
                        <wps:cNvSpPr/>
                        <wps:spPr>
                          <a:xfrm>
                            <a:off x="16943" y="780913"/>
                            <a:ext cx="1202257" cy="733296"/>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657272" w:rsidRPr="00DD7E6C" w:rsidRDefault="00657272" w:rsidP="007C2AEC">
                              <w:pPr>
                                <w:spacing w:after="0"/>
                                <w:jc w:val="center"/>
                                <w:rPr>
                                  <w:b/>
                                  <w:szCs w:val="20"/>
                                </w:rPr>
                              </w:pPr>
                              <w:r w:rsidRPr="00DD7E6C">
                                <w:rPr>
                                  <w:b/>
                                  <w:szCs w:val="20"/>
                                </w:rPr>
                                <w:t>Közgazdasági szempontból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c:wpc>
                  </a:graphicData>
                </a:graphic>
              </wp:inline>
            </w:drawing>
          </mc:Choice>
          <mc:Fallback>
            <w:pict>
              <v:group w14:anchorId="35BF7C1D" id="Vászon 47" o:spid="_x0000_s1138" editas="canvas" style="width:450.7pt;height:249pt;mso-position-horizontal-relative:char;mso-position-vertical-relative:line" coordsize="57238,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">
                <v:shape id="_x0000_s1139" type="#_x0000_t75" style="position:absolute;width:57238;height:31623;visibility:visible;mso-wrap-style:square">
                  <v:fill o:detectmouseclick="t"/>
                  <v:path o:connecttype="none"/>
                </v:shape>
                <v:roundrect id="Lekerekített téglalap 33" o:spid="_x0000_s1140" style="position:absolute;left:14088;top:190;width:43148;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Működési költség</w:t>
                        </w:r>
                      </w:p>
                      <w:p w:rsidR="00657272" w:rsidRPr="00F74D8F" w:rsidRDefault="00657272" w:rsidP="007C2AEC">
                        <w:pPr>
                          <w:spacing w:after="0"/>
                          <w:jc w:val="center"/>
                          <w:rPr>
                            <w:szCs w:val="20"/>
                          </w:rPr>
                        </w:pPr>
                        <w:r w:rsidRPr="00F74D8F">
                          <w:rPr>
                            <w:szCs w:val="20"/>
                          </w:rPr>
                          <w:t>(</w:t>
                        </w:r>
                        <w:r>
                          <w:rPr>
                            <w:szCs w:val="20"/>
                          </w:rPr>
                          <w:t xml:space="preserve">operational and maintenance = </w:t>
                        </w:r>
                        <w:r w:rsidRPr="00F74D8F">
                          <w:rPr>
                            <w:szCs w:val="20"/>
                          </w:rPr>
                          <w:t>O&amp;M and replacement cost)</w:t>
                        </w:r>
                      </w:p>
                    </w:txbxContent>
                  </v:textbox>
                </v:roundrect>
                <v:roundrect id="Lekerekített téglalap 35" o:spid="_x0000_s1141" style="position:absolute;left:14085;top:7809;width:13918;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Üzemeltetési költség</w:t>
                        </w:r>
                      </w:p>
                      <w:p w:rsidR="00657272" w:rsidRPr="00385AF2" w:rsidRDefault="00657272" w:rsidP="007C2AEC">
                        <w:pPr>
                          <w:spacing w:after="0"/>
                          <w:jc w:val="center"/>
                          <w:rPr>
                            <w:szCs w:val="20"/>
                          </w:rPr>
                        </w:pPr>
                        <w:r w:rsidRPr="00385AF2">
                          <w:rPr>
                            <w:szCs w:val="20"/>
                          </w:rPr>
                          <w:t>(operational cost)</w:t>
                        </w:r>
                      </w:p>
                    </w:txbxContent>
                  </v:textbox>
                </v:roundrect>
                <v:roundrect id="Lekerekített téglalap 38" o:spid="_x0000_s1142" style="position:absolute;left:28752;top:7809;width:13918;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Karbantartási költség</w:t>
                        </w:r>
                      </w:p>
                      <w:p w:rsidR="00657272" w:rsidRPr="00F74D8F" w:rsidRDefault="00657272" w:rsidP="007C2AEC">
                        <w:pPr>
                          <w:spacing w:after="0"/>
                          <w:jc w:val="center"/>
                          <w:rPr>
                            <w:szCs w:val="20"/>
                          </w:rPr>
                        </w:pPr>
                        <w:r w:rsidRPr="008F04B5">
                          <w:rPr>
                            <w:szCs w:val="20"/>
                          </w:rPr>
                          <w:t>(maintenance cost)</w:t>
                        </w:r>
                      </w:p>
                    </w:txbxContent>
                  </v:textbox>
                </v:roundrect>
                <v:roundrect id="Lekerekített téglalap 39" o:spid="_x0000_s1143" style="position:absolute;left:43319;top:7813;width:13917;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Pótlási költség</w:t>
                        </w:r>
                      </w:p>
                      <w:p w:rsidR="00657272" w:rsidRPr="00F74D8F" w:rsidRDefault="00657272" w:rsidP="007C2AEC">
                        <w:pPr>
                          <w:spacing w:after="0"/>
                          <w:jc w:val="center"/>
                          <w:rPr>
                            <w:szCs w:val="20"/>
                          </w:rPr>
                        </w:pPr>
                        <w:r w:rsidRPr="008F04B5">
                          <w:rPr>
                            <w:szCs w:val="20"/>
                          </w:rPr>
                          <w:t>(replacement cost)</w:t>
                        </w:r>
                      </w:p>
                    </w:txbxContent>
                  </v:textbox>
                </v:roundrect>
                <v:roundrect id="Lekerekített téglalap 40" o:spid="_x0000_s1144" style="position:absolute;left:35730;top:16383;width:21506;height:73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Fenntartási költség</w:t>
                        </w:r>
                      </w:p>
                      <w:p w:rsidR="00657272" w:rsidRPr="00F74D8F" w:rsidRDefault="00657272" w:rsidP="007C2AEC">
                        <w:pPr>
                          <w:spacing w:after="0"/>
                          <w:jc w:val="center"/>
                          <w:rPr>
                            <w:szCs w:val="20"/>
                          </w:rPr>
                        </w:pPr>
                        <w:r w:rsidRPr="008F04B5">
                          <w:rPr>
                            <w:szCs w:val="20"/>
                          </w:rPr>
                          <w:t>(maintenance cost egy része és replacement cost</w:t>
                        </w:r>
                        <w:r w:rsidRPr="00EB31EC">
                          <w:rPr>
                            <w:szCs w:val="20"/>
                          </w:rPr>
                          <w:t>)</w:t>
                        </w:r>
                      </w:p>
                    </w:txbxContent>
                  </v:textbox>
                </v:roundrect>
                <v:roundrect id="Lekerekített téglalap 41" o:spid="_x0000_s1145" style="position:absolute;left:14084;top:16385;width:21012;height:7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Üzemeltetési költség</w:t>
                        </w:r>
                      </w:p>
                      <w:p w:rsidR="00657272" w:rsidRPr="00F74D8F" w:rsidRDefault="00657272" w:rsidP="007C2AEC">
                        <w:pPr>
                          <w:spacing w:after="0"/>
                          <w:jc w:val="center"/>
                          <w:rPr>
                            <w:szCs w:val="20"/>
                          </w:rPr>
                        </w:pPr>
                        <w:r w:rsidRPr="008F04B5">
                          <w:rPr>
                            <w:szCs w:val="20"/>
                          </w:rPr>
                          <w:t>(operating cost és a maintenace cost egy része)</w:t>
                        </w:r>
                      </w:p>
                    </w:txbxContent>
                  </v:textbox>
                </v:roundrect>
                <v:roundrect id="Lekerekített téglalap 42" o:spid="_x0000_s1146" style="position:absolute;left:33699;top:24955;width:23537;height:6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Felújítás</w:t>
                        </w:r>
                      </w:p>
                      <w:p w:rsidR="00657272" w:rsidRPr="00F74D8F" w:rsidRDefault="00657272" w:rsidP="007C2AEC">
                        <w:pPr>
                          <w:spacing w:after="0"/>
                          <w:jc w:val="center"/>
                          <w:rPr>
                            <w:szCs w:val="20"/>
                          </w:rPr>
                        </w:pPr>
                        <w:r w:rsidRPr="008F04B5">
                          <w:rPr>
                            <w:szCs w:val="20"/>
                          </w:rPr>
                          <w:t>(aktiválandó</w:t>
                        </w:r>
                        <w:r>
                          <w:rPr>
                            <w:szCs w:val="20"/>
                          </w:rPr>
                          <w:t>, beruházás jellegű</w:t>
                        </w:r>
                        <w:r w:rsidRPr="008F04B5">
                          <w:rPr>
                            <w:szCs w:val="20"/>
                          </w:rPr>
                          <w:t>)</w:t>
                        </w:r>
                      </w:p>
                    </w:txbxContent>
                  </v:textbox>
                </v:roundrect>
                <v:roundrect id="Lekerekített téglalap 43" o:spid="_x0000_s1147" style="position:absolute;left:14084;top:24955;width:18680;height:6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" fillcolor="#5b9bd5 [3204]" strokecolor="#1f4d78 [1604]" strokeweight="1pt">
                  <v:stroke joinstyle="miter"/>
                  <v:textbox inset="1mm,1mm,1mm,1mm">
                    <w:txbxContent>
                      <w:p w:rsidR="00657272" w:rsidRPr="00F74D8F" w:rsidRDefault="00657272" w:rsidP="007C2AEC">
                        <w:pPr>
                          <w:spacing w:after="0"/>
                          <w:jc w:val="center"/>
                          <w:rPr>
                            <w:b/>
                            <w:szCs w:val="20"/>
                          </w:rPr>
                        </w:pPr>
                        <w:r w:rsidRPr="00F74D8F">
                          <w:rPr>
                            <w:b/>
                            <w:szCs w:val="20"/>
                          </w:rPr>
                          <w:t xml:space="preserve">Költség </w:t>
                        </w:r>
                      </w:p>
                      <w:p w:rsidR="00657272" w:rsidRPr="00F74D8F" w:rsidRDefault="00657272" w:rsidP="007C2AEC">
                        <w:pPr>
                          <w:spacing w:after="0"/>
                          <w:jc w:val="center"/>
                          <w:rPr>
                            <w:szCs w:val="20"/>
                          </w:rPr>
                        </w:pPr>
                        <w:r>
                          <w:rPr>
                            <w:szCs w:val="20"/>
                          </w:rPr>
                          <w:t>(beleértve a karbantartási költséget)</w:t>
                        </w:r>
                      </w:p>
                    </w:txbxContent>
                  </v:textbox>
                </v:roundrect>
                <v:roundrect id="Lekerekített téglalap 44" o:spid="_x0000_s1148" style="position:absolute;left:169;top:24956;width:12023;height:6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" fillcolor="#a5a5a5 [3206]" strokecolor="#525252 [1606]" strokeweight="1pt">
                  <v:stroke joinstyle="miter"/>
                  <v:textbox inset="1mm,1mm,1mm,1mm">
                    <w:txbxContent>
                      <w:p w:rsidR="00657272" w:rsidRPr="00DD7E6C" w:rsidRDefault="00657272" w:rsidP="007C2AEC">
                        <w:pPr>
                          <w:spacing w:after="0"/>
                          <w:jc w:val="center"/>
                          <w:rPr>
                            <w:b/>
                            <w:szCs w:val="20"/>
                          </w:rPr>
                        </w:pPr>
                        <w:r w:rsidRPr="00DD7E6C">
                          <w:rPr>
                            <w:b/>
                            <w:szCs w:val="20"/>
                          </w:rPr>
                          <w:t>Számviteli szempontból</w:t>
                        </w:r>
                      </w:p>
                    </w:txbxContent>
                  </v:textbox>
                </v:roundrect>
                <v:roundrect id="Lekerekített téglalap 45" o:spid="_x0000_s1149" style="position:absolute;left:169;top:16383;width:11882;height:73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" fillcolor="#a5a5a5 [3206]" strokecolor="#525252 [1606]" strokeweight="1pt">
                  <v:stroke joinstyle="miter"/>
                  <v:textbox inset="1mm,1mm,1mm,1mm">
                    <w:txbxContent>
                      <w:p w:rsidR="00657272" w:rsidRPr="00DD7E6C" w:rsidRDefault="00657272" w:rsidP="007C2AEC">
                        <w:pPr>
                          <w:spacing w:after="0"/>
                          <w:jc w:val="center"/>
                          <w:rPr>
                            <w:b/>
                            <w:szCs w:val="20"/>
                          </w:rPr>
                        </w:pPr>
                        <w:r>
                          <w:rPr>
                            <w:b/>
                            <w:szCs w:val="20"/>
                          </w:rPr>
                          <w:t>Ü</w:t>
                        </w:r>
                        <w:r w:rsidRPr="00DD7E6C">
                          <w:rPr>
                            <w:b/>
                            <w:szCs w:val="20"/>
                          </w:rPr>
                          <w:t>zemgazdasági szempontból</w:t>
                        </w:r>
                      </w:p>
                    </w:txbxContent>
                  </v:textbox>
                </v:roundrect>
                <v:roundrect id="Lekerekített téglalap 46" o:spid="_x0000_s1150" style="position:absolute;left:169;top:7809;width:12023;height:7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" fillcolor="#a5a5a5 [3206]" strokecolor="#525252 [1606]" strokeweight="1pt">
                  <v:stroke joinstyle="miter"/>
                  <v:textbox inset="1mm,1mm,1mm,1mm">
                    <w:txbxContent>
                      <w:p w:rsidR="00657272" w:rsidRPr="00DD7E6C" w:rsidRDefault="00657272" w:rsidP="007C2AEC">
                        <w:pPr>
                          <w:spacing w:after="0"/>
                          <w:jc w:val="center"/>
                          <w:rPr>
                            <w:b/>
                            <w:szCs w:val="20"/>
                          </w:rPr>
                        </w:pPr>
                        <w:r w:rsidRPr="00DD7E6C">
                          <w:rPr>
                            <w:b/>
                            <w:szCs w:val="20"/>
                          </w:rPr>
                          <w:t>Közgazdasági szempontból</w:t>
                        </w:r>
                      </w:p>
                    </w:txbxContent>
                  </v:textbox>
                </v:roundrect>
                <w10:anchorlock/>
              </v:group>
            </w:pict>
          </mc:Fallback>
        </mc:AlternateContent>
      </w:r>
    </w:p>
    <w:p w:rsidR="007C2AEC" w:rsidRPr="00D40DC4" w:rsidRDefault="007C2AEC" w:rsidP="007C2AEC">
      <w:pPr>
        <w:rPr>
          <w:rFonts w:cs="Arial"/>
        </w:rPr>
      </w:pPr>
      <w:r w:rsidRPr="00D40DC4">
        <w:rPr>
          <w:rFonts w:cs="Arial"/>
        </w:rPr>
        <w:t>Általában a pótlási költség tervezése jobban elkülönül a számviteli gyakorlat miatt, amely szerint a pótlási költség körébe tartozó nagyobb értékű eszközök cseréje, felújítása beruházásként számolandó el a magyar számviteli szabályok szerint.</w:t>
      </w:r>
    </w:p>
    <w:p w:rsidR="007C2AEC" w:rsidRPr="00D40DC4" w:rsidRDefault="007C2AEC" w:rsidP="007C2AEC">
      <w:pPr>
        <w:rPr>
          <w:rFonts w:cs="Arial"/>
        </w:rPr>
      </w:pPr>
      <w:r w:rsidRPr="00D40DC4">
        <w:rPr>
          <w:rFonts w:cs="Arial"/>
        </w:rPr>
        <w:t>Tartalmilag a karbantartási és pótlási költség áll egymáshoz közelebb, ezek együttesen biztosítják az eszközök és a meghatározott szolgáltatási színvonal fenntartását. Az EU Útmutatók alapján a támogatás szempontjából működési költségnek elsősorban azon költségek tekinthetőek, melyek nem a beruházási időszakban merülnek fel.</w:t>
      </w:r>
    </w:p>
    <w:p w:rsidR="007C2AEC" w:rsidRPr="00D40DC4" w:rsidRDefault="007C2AEC" w:rsidP="007C2AEC">
      <w:pPr>
        <w:rPr>
          <w:rFonts w:cs="Arial"/>
        </w:rPr>
      </w:pPr>
      <w:r w:rsidRPr="00D40DC4">
        <w:rPr>
          <w:rFonts w:cs="Arial"/>
        </w:rPr>
        <w:t>A számviteli gyakorlat miatt bizonyos típusú projekteknél az üzemeltetés és karbantartás költségét együttesen lehet megbecsülni.</w:t>
      </w:r>
    </w:p>
    <w:p w:rsidR="007C2AEC" w:rsidRPr="00D40DC4" w:rsidRDefault="007C2AEC" w:rsidP="005A76C2">
      <w:pPr>
        <w:pStyle w:val="Cmsor4"/>
      </w:pPr>
      <w:r w:rsidRPr="00D40DC4">
        <w:t>Üzemeltetési és karbantartási költség</w:t>
      </w:r>
    </w:p>
    <w:p w:rsidR="007C2AEC" w:rsidRPr="00D40DC4" w:rsidRDefault="007C2AEC" w:rsidP="007C2AEC">
      <w:pPr>
        <w:pStyle w:val="Cmsor5"/>
      </w:pPr>
      <w:r w:rsidRPr="00D40DC4">
        <w:t>A költségek becslésének módszertana</w:t>
      </w:r>
    </w:p>
    <w:p w:rsidR="007C2AEC" w:rsidRPr="00D40DC4" w:rsidRDefault="007C2AEC" w:rsidP="007C2AEC">
      <w:pPr>
        <w:rPr>
          <w:rFonts w:cs="Arial"/>
        </w:rPr>
      </w:pPr>
      <w:r w:rsidRPr="00D40DC4">
        <w:rPr>
          <w:rFonts w:cs="Arial"/>
        </w:rPr>
        <w:t>A becslés módszertanának bemutatásakor valamennyi releváns, azaz költséggel járó, létesítmény, ill. tevékenység fajlagos költségadatait be kell mutatni. Például egy játszótér felújítása után üzemeltetési költségnek tekinthető a hulladék gyűjtése (amennyiben korábban nem volt ott kuka), a fa nyírása, a falevelek söprése stb., míg karbantartási költség az eszközök éves javítása.</w:t>
      </w:r>
    </w:p>
    <w:p w:rsidR="007C2AEC" w:rsidRPr="00D40DC4" w:rsidRDefault="007C2AEC" w:rsidP="007C2AEC">
      <w:pPr>
        <w:rPr>
          <w:rFonts w:cs="Arial"/>
        </w:rPr>
      </w:pPr>
      <w:r w:rsidRPr="00D40DC4">
        <w:rPr>
          <w:rFonts w:cs="Arial"/>
        </w:rPr>
        <w:t>Az üzemeltetési és karbantartási költségek becslés során a változó költségek és az állandó költségek külön kezelendők. A változó költségek valamilyen mennyiségtől függő költségek (pl. anyagköltség, munkaerő költsége, villamos energia költsége, szállítási költség, környezetvédelmi költségek, javítási és közüzemi költségek stb.), míg az állandó költségek (általános költségek) bizonyos mennyiségi intervallumon belül nem függenek a mennyiségtől, fixnek tekinthetők.</w:t>
      </w:r>
    </w:p>
    <w:p w:rsidR="007C2AEC" w:rsidRPr="00D40DC4" w:rsidRDefault="007C2AEC" w:rsidP="007C2AEC">
      <w:pPr>
        <w:rPr>
          <w:rFonts w:cs="Arial"/>
        </w:rPr>
      </w:pPr>
      <w:r w:rsidRPr="00D40DC4">
        <w:rPr>
          <w:rFonts w:cs="Arial"/>
        </w:rPr>
        <w:t>Abban az esetben, ha a projektes illetve a projekt nélküli eset fajlagos költségei eltérnek, be kell mutatni mindkét eset költségeit.</w:t>
      </w:r>
    </w:p>
    <w:p w:rsidR="007C2AEC" w:rsidRPr="00D40DC4" w:rsidRDefault="007C2AEC" w:rsidP="007C2AEC">
      <w:pPr>
        <w:rPr>
          <w:rFonts w:cs="Arial"/>
        </w:rPr>
      </w:pPr>
      <w:r w:rsidRPr="00D40DC4">
        <w:rPr>
          <w:rFonts w:cs="Arial"/>
        </w:rPr>
        <w:t>A költségbecslés során a számviteli törvény szerinti költségnemenkénti bontást is követni kell.</w:t>
      </w:r>
    </w:p>
    <w:p w:rsidR="007C2AEC" w:rsidRPr="00D40DC4" w:rsidRDefault="007C2AEC" w:rsidP="007C2AEC">
      <w:pPr>
        <w:rPr>
          <w:rFonts w:cs="Arial"/>
        </w:rPr>
      </w:pPr>
      <w:r w:rsidRPr="00D40DC4">
        <w:rPr>
          <w:rFonts w:cs="Arial"/>
        </w:rPr>
        <w:lastRenderedPageBreak/>
        <w:t>A projekt üzemeltetési és karbantartási költségei a beruházás üzembe helyezésétől kezdve merülnek fel. Az üzemeltetési és karbantartási költségek közül csak azokat vesszük figyelembe, amelyek valós pénzmozgással járnak.</w:t>
      </w:r>
    </w:p>
    <w:p w:rsidR="007C2AEC" w:rsidRPr="00D40DC4" w:rsidRDefault="007C2AEC" w:rsidP="007C2AEC">
      <w:pPr>
        <w:rPr>
          <w:rFonts w:cs="Arial"/>
        </w:rPr>
      </w:pPr>
      <w:r w:rsidRPr="00D40DC4">
        <w:rPr>
          <w:rFonts w:cs="Arial"/>
        </w:rPr>
        <w:t>Meglévő létesítmények bővítésekor különbözeti módszerrel számolt eredmények mellett be kell mutatni mind a projektes, mint a projekt nélküli eset adatait is. Bizonyos esetekben, amikor az input adatok (naturáliák) csak különbözetként becsülhetők, ennek feltüntetése mellett elegendő a különbözeti adatok bemutatása.</w:t>
      </w:r>
    </w:p>
    <w:p w:rsidR="007C2AEC" w:rsidRPr="00D40DC4" w:rsidRDefault="007C2AEC" w:rsidP="007C2AEC">
      <w:pPr>
        <w:pStyle w:val="Cmsor5"/>
      </w:pPr>
      <w:r w:rsidRPr="00D40DC4">
        <w:t>A becsléshez használt inputok</w:t>
      </w:r>
    </w:p>
    <w:p w:rsidR="007C2AEC" w:rsidRPr="00D40DC4" w:rsidRDefault="007C2AEC" w:rsidP="007C2AEC">
      <w:r w:rsidRPr="00D40DC4">
        <w:rPr>
          <w:lang w:eastAsia="x-none"/>
        </w:rPr>
        <w:t>A projekt fajlagos üzemeltetési és karbantartási költségeit a következő táblázat szemlélteti.</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490" w:name="_Toc428775207"/>
      <w:bookmarkStart w:id="491" w:name="_Toc428776180"/>
      <w:bookmarkStart w:id="492" w:name="_Toc436923941"/>
      <w:r w:rsidR="007B4938" w:rsidRPr="00D40DC4">
        <w:rPr>
          <w:noProof/>
        </w:rPr>
        <w:t>8</w:t>
      </w:r>
      <w:r w:rsidRPr="00D40DC4">
        <w:rPr>
          <w:noProof/>
        </w:rPr>
        <w:fldChar w:fldCharType="end"/>
      </w:r>
      <w:r w:rsidRPr="00D40DC4">
        <w:rPr>
          <w:noProof/>
        </w:rPr>
        <w:t>. táblázat: Fajlagos üzemeltetési és karbantartási költségei (Ft/naturália, projektes eset)</w:t>
      </w:r>
      <w:bookmarkEnd w:id="490"/>
      <w:bookmarkEnd w:id="491"/>
      <w:bookmarkEnd w:id="492"/>
    </w:p>
    <w:tbl>
      <w:tblPr>
        <w:tblW w:w="2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tblGrid>
      <w:tr w:rsidR="005169B3" w:rsidRPr="00D40DC4" w:rsidTr="009E0823">
        <w:trPr>
          <w:trHeight w:val="255"/>
          <w:tblHeader/>
        </w:trPr>
        <w:tc>
          <w:tcPr>
            <w:tcW w:w="3569" w:type="pct"/>
            <w:shd w:val="clear" w:color="auto" w:fill="99CCFF"/>
            <w:noWrap/>
            <w:vAlign w:val="center"/>
          </w:tcPr>
          <w:p w:rsidR="005169B3" w:rsidRPr="00D40DC4" w:rsidRDefault="005169B3" w:rsidP="009E0823">
            <w:pPr>
              <w:spacing w:after="0"/>
              <w:jc w:val="center"/>
              <w:rPr>
                <w:rFonts w:cs="Arial"/>
                <w:b/>
                <w:szCs w:val="20"/>
              </w:rPr>
            </w:pPr>
            <w:r w:rsidRPr="00D40DC4">
              <w:rPr>
                <w:rFonts w:cs="Arial"/>
                <w:b/>
                <w:szCs w:val="20"/>
              </w:rPr>
              <w:t>Megnevezés</w:t>
            </w:r>
          </w:p>
        </w:tc>
        <w:tc>
          <w:tcPr>
            <w:tcW w:w="1431" w:type="pct"/>
            <w:shd w:val="clear" w:color="auto" w:fill="99CCFF"/>
            <w:noWrap/>
            <w:vAlign w:val="center"/>
          </w:tcPr>
          <w:p w:rsidR="005169B3" w:rsidRPr="00D40DC4" w:rsidRDefault="007A4D4D" w:rsidP="009E0823">
            <w:pPr>
              <w:spacing w:after="0"/>
              <w:jc w:val="center"/>
              <w:rPr>
                <w:rFonts w:cs="Arial"/>
                <w:b/>
                <w:szCs w:val="20"/>
              </w:rPr>
            </w:pPr>
            <w:r w:rsidRPr="00D40DC4">
              <w:rPr>
                <w:rFonts w:cs="Arial"/>
                <w:b/>
                <w:szCs w:val="20"/>
              </w:rPr>
              <w:t>Ft/naturália</w:t>
            </w:r>
          </w:p>
        </w:tc>
      </w:tr>
      <w:tr w:rsidR="005169B3" w:rsidRPr="00D40DC4" w:rsidTr="009E0823">
        <w:trPr>
          <w:trHeight w:val="255"/>
        </w:trPr>
        <w:tc>
          <w:tcPr>
            <w:tcW w:w="3569" w:type="pct"/>
            <w:shd w:val="clear" w:color="auto" w:fill="auto"/>
            <w:noWrap/>
          </w:tcPr>
          <w:p w:rsidR="005169B3" w:rsidRPr="00D40DC4" w:rsidRDefault="005169B3" w:rsidP="009E0823">
            <w:pPr>
              <w:pStyle w:val="Listaszerbekezds"/>
              <w:numPr>
                <w:ilvl w:val="0"/>
                <w:numId w:val="0"/>
              </w:numPr>
              <w:spacing w:after="0"/>
              <w:rPr>
                <w:b/>
              </w:rPr>
            </w:pPr>
            <w:r w:rsidRPr="00D40DC4">
              <w:rPr>
                <w:b/>
              </w:rPr>
              <w:t>Állandó üzemeltetési költségek</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1</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2</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3</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4</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5</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9E0823">
            <w:pPr>
              <w:pStyle w:val="Listaszerbekezds"/>
              <w:numPr>
                <w:ilvl w:val="0"/>
                <w:numId w:val="0"/>
              </w:numPr>
              <w:spacing w:after="0"/>
              <w:rPr>
                <w:b/>
              </w:rPr>
            </w:pPr>
            <w:r w:rsidRPr="00D40DC4">
              <w:rPr>
                <w:b/>
              </w:rPr>
              <w:t>Állandó karbantartási költségek</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t>tétel 1</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t>tétel 2</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t>tétel 3</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t>tétel 4</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t>tétel 5</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szCs w:val="20"/>
              </w:rPr>
            </w:pPr>
            <w:r w:rsidRPr="00D40DC4">
              <w:rPr>
                <w:b/>
              </w:rPr>
              <w:t>Állandó költség összesen (1+2+…+9+10)</w:t>
            </w:r>
          </w:p>
        </w:tc>
        <w:tc>
          <w:tcPr>
            <w:tcW w:w="1431" w:type="pct"/>
            <w:shd w:val="clear" w:color="auto" w:fill="auto"/>
            <w:noWrap/>
            <w:vAlign w:val="bottom"/>
          </w:tcPr>
          <w:p w:rsidR="005169B3" w:rsidRPr="00D40DC4" w:rsidRDefault="005169B3" w:rsidP="009E0823">
            <w:pPr>
              <w:spacing w:after="0"/>
              <w:rPr>
                <w:rFonts w:cs="Arial"/>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rFonts w:cs="Arial"/>
                <w:b/>
                <w:szCs w:val="20"/>
              </w:rPr>
            </w:pPr>
            <w:r w:rsidRPr="00D40DC4">
              <w:rPr>
                <w:b/>
              </w:rPr>
              <w:t>Változó üzemeltetési költségek</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1</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2</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3</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4</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5</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rPr>
                <w:b/>
              </w:rPr>
              <w:t>Változó karbantartási költségek</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t>tétel 1</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1</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2</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3</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4</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pPr>
            <w:r w:rsidRPr="00D40DC4">
              <w:t>tétel 5</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rPr>
                <w:b/>
              </w:rPr>
              <w:t>Változó költség összesen (13+14+…+23+24)</w:t>
            </w:r>
          </w:p>
        </w:tc>
        <w:tc>
          <w:tcPr>
            <w:tcW w:w="1431" w:type="pct"/>
            <w:shd w:val="clear" w:color="auto" w:fill="auto"/>
            <w:noWrap/>
            <w:vAlign w:val="bottom"/>
          </w:tcPr>
          <w:p w:rsidR="005169B3" w:rsidRPr="00D40DC4" w:rsidRDefault="005169B3" w:rsidP="009E0823">
            <w:pPr>
              <w:spacing w:after="0"/>
              <w:rPr>
                <w:rFonts w:cs="Arial"/>
                <w:b/>
                <w:szCs w:val="20"/>
              </w:rPr>
            </w:pPr>
          </w:p>
        </w:tc>
      </w:tr>
      <w:tr w:rsidR="005169B3" w:rsidRPr="00D40DC4" w:rsidTr="009E0823">
        <w:trPr>
          <w:trHeight w:val="255"/>
        </w:trPr>
        <w:tc>
          <w:tcPr>
            <w:tcW w:w="3569" w:type="pct"/>
            <w:shd w:val="clear" w:color="auto" w:fill="auto"/>
            <w:noWrap/>
          </w:tcPr>
          <w:p w:rsidR="005169B3" w:rsidRPr="00D40DC4" w:rsidRDefault="005169B3" w:rsidP="005169B3">
            <w:pPr>
              <w:pStyle w:val="Listaszerbekezds"/>
              <w:numPr>
                <w:ilvl w:val="0"/>
                <w:numId w:val="162"/>
              </w:numPr>
              <w:spacing w:after="0"/>
              <w:contextualSpacing/>
              <w:rPr>
                <w:b/>
              </w:rPr>
            </w:pPr>
            <w:r w:rsidRPr="00D40DC4">
              <w:rPr>
                <w:b/>
              </w:rPr>
              <w:t>Mindösszesen (11+25)</w:t>
            </w:r>
          </w:p>
        </w:tc>
        <w:tc>
          <w:tcPr>
            <w:tcW w:w="1431" w:type="pct"/>
            <w:shd w:val="clear" w:color="auto" w:fill="auto"/>
            <w:noWrap/>
            <w:vAlign w:val="bottom"/>
          </w:tcPr>
          <w:p w:rsidR="005169B3" w:rsidRPr="00D40DC4" w:rsidRDefault="005169B3" w:rsidP="009E0823">
            <w:pPr>
              <w:spacing w:after="0"/>
              <w:rPr>
                <w:rFonts w:cs="Arial"/>
                <w:b/>
                <w:szCs w:val="20"/>
              </w:rPr>
            </w:pPr>
          </w:p>
        </w:tc>
      </w:tr>
    </w:tbl>
    <w:p w:rsidR="005169B3" w:rsidRPr="00D40DC4" w:rsidRDefault="005169B3" w:rsidP="002314F2">
      <w:pPr>
        <w:pStyle w:val="Tblzat"/>
        <w:rPr>
          <w:noProof/>
        </w:rPr>
      </w:pPr>
    </w:p>
    <w:p w:rsidR="007C2AEC" w:rsidRPr="00D40DC4" w:rsidRDefault="007C2AEC" w:rsidP="007C2AEC">
      <w:pPr>
        <w:rPr>
          <w:rFonts w:cs="Arial"/>
        </w:rPr>
      </w:pPr>
      <w:r w:rsidRPr="00D40DC4">
        <w:rPr>
          <w:rFonts w:cs="Arial"/>
        </w:rPr>
        <w:t>A költségek becslésekor alkalmazott naturáliákat a fajlagos költségekhez illeszkedő felbontásban kell bemutatni.</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493" w:name="_Toc428775210"/>
      <w:bookmarkStart w:id="494" w:name="_Toc428776183"/>
      <w:bookmarkStart w:id="495" w:name="_Toc436923942"/>
      <w:r w:rsidR="007B4938" w:rsidRPr="00D40DC4">
        <w:rPr>
          <w:noProof/>
        </w:rPr>
        <w:t>9</w:t>
      </w:r>
      <w:r w:rsidRPr="00D40DC4">
        <w:rPr>
          <w:noProof/>
        </w:rPr>
        <w:fldChar w:fldCharType="end"/>
      </w:r>
      <w:r w:rsidRPr="00D40DC4">
        <w:rPr>
          <w:noProof/>
        </w:rPr>
        <w:t>. táblázat: Teljesítmények az egyes években (naturália</w:t>
      </w:r>
      <w:bookmarkEnd w:id="493"/>
      <w:bookmarkEnd w:id="494"/>
      <w:r w:rsidRPr="00D40DC4">
        <w:rPr>
          <w:noProof/>
        </w:rPr>
        <w:t>)</w:t>
      </w:r>
      <w:bookmarkEnd w:id="4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0"/>
        <w:gridCol w:w="1548"/>
        <w:gridCol w:w="1549"/>
        <w:gridCol w:w="346"/>
        <w:gridCol w:w="1549"/>
      </w:tblGrid>
      <w:tr w:rsidR="007C2AEC" w:rsidRPr="00D40DC4" w:rsidTr="007C2AEC">
        <w:trPr>
          <w:trHeight w:val="255"/>
          <w:tblHeader/>
        </w:trPr>
        <w:tc>
          <w:tcPr>
            <w:tcW w:w="0" w:type="auto"/>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840"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1. év</w:t>
            </w:r>
          </w:p>
        </w:tc>
        <w:tc>
          <w:tcPr>
            <w:tcW w:w="841" w:type="pct"/>
            <w:shd w:val="clear" w:color="auto" w:fill="99CCFF"/>
            <w:vAlign w:val="center"/>
          </w:tcPr>
          <w:p w:rsidR="007C2AEC" w:rsidRPr="00D40DC4" w:rsidRDefault="007C2AEC" w:rsidP="007C2AEC">
            <w:pPr>
              <w:spacing w:after="0"/>
              <w:jc w:val="center"/>
              <w:rPr>
                <w:rFonts w:cs="Arial"/>
                <w:b/>
                <w:szCs w:val="20"/>
              </w:rPr>
            </w:pPr>
            <w:r w:rsidRPr="00D40DC4">
              <w:rPr>
                <w:rFonts w:cs="Arial"/>
                <w:b/>
                <w:szCs w:val="20"/>
              </w:rPr>
              <w:t>2. év</w:t>
            </w:r>
          </w:p>
        </w:tc>
        <w:tc>
          <w:tcPr>
            <w:tcW w:w="188" w:type="pct"/>
            <w:shd w:val="clear" w:color="auto" w:fill="99CCFF"/>
          </w:tcPr>
          <w:p w:rsidR="007C2AEC" w:rsidRPr="00D40DC4" w:rsidRDefault="007C2AEC" w:rsidP="007C2AEC">
            <w:pPr>
              <w:spacing w:after="0"/>
              <w:jc w:val="center"/>
              <w:rPr>
                <w:rFonts w:cs="Arial"/>
                <w:b/>
                <w:szCs w:val="20"/>
              </w:rPr>
            </w:pPr>
            <w:r w:rsidRPr="00D40DC4">
              <w:rPr>
                <w:rFonts w:cs="Arial"/>
                <w:b/>
                <w:szCs w:val="20"/>
              </w:rPr>
              <w:t>…</w:t>
            </w:r>
          </w:p>
        </w:tc>
        <w:tc>
          <w:tcPr>
            <w:tcW w:w="841" w:type="pct"/>
            <w:shd w:val="clear" w:color="auto" w:fill="99CCFF"/>
          </w:tcPr>
          <w:p w:rsidR="007C2AEC" w:rsidRPr="00D40DC4" w:rsidRDefault="007C2AEC" w:rsidP="007C2AEC">
            <w:pPr>
              <w:spacing w:after="0"/>
              <w:jc w:val="center"/>
              <w:rPr>
                <w:rFonts w:cs="Arial"/>
                <w:b/>
                <w:szCs w:val="20"/>
              </w:rPr>
            </w:pPr>
            <w:r w:rsidRPr="00D40DC4">
              <w:rPr>
                <w:rFonts w:cs="Arial"/>
                <w:b/>
                <w:szCs w:val="20"/>
              </w:rPr>
              <w:t>n. év</w:t>
            </w:r>
          </w:p>
        </w:tc>
      </w:tr>
      <w:tr w:rsidR="007C2AEC" w:rsidRPr="00D40DC4" w:rsidTr="007C2AEC">
        <w:trPr>
          <w:trHeight w:val="255"/>
        </w:trPr>
        <w:tc>
          <w:tcPr>
            <w:tcW w:w="0" w:type="auto"/>
            <w:shd w:val="clear" w:color="auto" w:fill="auto"/>
            <w:noWrap/>
          </w:tcPr>
          <w:p w:rsidR="007C2AEC" w:rsidRPr="00D40DC4" w:rsidRDefault="007C2AEC" w:rsidP="006F2748">
            <w:pPr>
              <w:numPr>
                <w:ilvl w:val="0"/>
                <w:numId w:val="73"/>
              </w:numPr>
              <w:rPr>
                <w:szCs w:val="20"/>
              </w:rPr>
            </w:pPr>
            <w:r w:rsidRPr="00D40DC4">
              <w:t>tétel 1</w:t>
            </w:r>
          </w:p>
        </w:tc>
        <w:tc>
          <w:tcPr>
            <w:tcW w:w="840" w:type="pct"/>
            <w:shd w:val="clear" w:color="auto" w:fill="auto"/>
            <w:noWrap/>
            <w:vAlign w:val="bottom"/>
          </w:tcPr>
          <w:p w:rsidR="007C2AEC" w:rsidRPr="00D40DC4" w:rsidRDefault="007C2AEC" w:rsidP="007C2AEC">
            <w:pPr>
              <w:spacing w:after="0"/>
              <w:rPr>
                <w:rFonts w:cs="Arial"/>
                <w:szCs w:val="20"/>
              </w:rPr>
            </w:pPr>
          </w:p>
        </w:tc>
        <w:tc>
          <w:tcPr>
            <w:tcW w:w="841" w:type="pct"/>
            <w:vAlign w:val="bottom"/>
          </w:tcPr>
          <w:p w:rsidR="007C2AEC" w:rsidRPr="00D40DC4" w:rsidRDefault="007C2AEC" w:rsidP="007C2AEC">
            <w:pPr>
              <w:spacing w:after="0"/>
              <w:rPr>
                <w:rFonts w:cs="Arial"/>
                <w:szCs w:val="20"/>
              </w:rPr>
            </w:pPr>
          </w:p>
        </w:tc>
        <w:tc>
          <w:tcPr>
            <w:tcW w:w="188" w:type="pct"/>
          </w:tcPr>
          <w:p w:rsidR="007C2AEC" w:rsidRPr="00D40DC4" w:rsidRDefault="007C2AEC" w:rsidP="007C2AEC">
            <w:pPr>
              <w:spacing w:after="0"/>
              <w:rPr>
                <w:rFonts w:cs="Arial"/>
                <w:szCs w:val="20"/>
              </w:rPr>
            </w:pPr>
          </w:p>
        </w:tc>
        <w:tc>
          <w:tcPr>
            <w:tcW w:w="841" w:type="pct"/>
          </w:tcPr>
          <w:p w:rsidR="007C2AEC" w:rsidRPr="00D40DC4" w:rsidRDefault="007C2AEC" w:rsidP="007C2AEC">
            <w:pPr>
              <w:spacing w:after="0"/>
              <w:rPr>
                <w:rFonts w:cs="Arial"/>
                <w:szCs w:val="20"/>
              </w:rPr>
            </w:pPr>
          </w:p>
        </w:tc>
      </w:tr>
      <w:tr w:rsidR="007C2AEC" w:rsidRPr="00D40DC4" w:rsidTr="007C2AEC">
        <w:trPr>
          <w:trHeight w:val="255"/>
        </w:trPr>
        <w:tc>
          <w:tcPr>
            <w:tcW w:w="0" w:type="auto"/>
            <w:shd w:val="clear" w:color="auto" w:fill="auto"/>
            <w:noWrap/>
          </w:tcPr>
          <w:p w:rsidR="007C2AEC" w:rsidRPr="00D40DC4" w:rsidRDefault="007C2AEC" w:rsidP="006F2748">
            <w:pPr>
              <w:numPr>
                <w:ilvl w:val="0"/>
                <w:numId w:val="73"/>
              </w:numPr>
              <w:rPr>
                <w:szCs w:val="20"/>
              </w:rPr>
            </w:pPr>
            <w:r w:rsidRPr="00D40DC4">
              <w:t>tétel 2</w:t>
            </w:r>
          </w:p>
        </w:tc>
        <w:tc>
          <w:tcPr>
            <w:tcW w:w="840" w:type="pct"/>
            <w:shd w:val="clear" w:color="auto" w:fill="auto"/>
            <w:noWrap/>
            <w:vAlign w:val="bottom"/>
          </w:tcPr>
          <w:p w:rsidR="007C2AEC" w:rsidRPr="00D40DC4" w:rsidRDefault="007C2AEC" w:rsidP="007C2AEC">
            <w:pPr>
              <w:spacing w:after="0"/>
              <w:rPr>
                <w:rFonts w:cs="Arial"/>
                <w:szCs w:val="20"/>
              </w:rPr>
            </w:pPr>
          </w:p>
        </w:tc>
        <w:tc>
          <w:tcPr>
            <w:tcW w:w="841" w:type="pct"/>
            <w:vAlign w:val="bottom"/>
          </w:tcPr>
          <w:p w:rsidR="007C2AEC" w:rsidRPr="00D40DC4" w:rsidRDefault="007C2AEC" w:rsidP="007C2AEC">
            <w:pPr>
              <w:spacing w:after="0"/>
              <w:rPr>
                <w:rFonts w:cs="Arial"/>
                <w:szCs w:val="20"/>
              </w:rPr>
            </w:pPr>
          </w:p>
        </w:tc>
        <w:tc>
          <w:tcPr>
            <w:tcW w:w="188" w:type="pct"/>
          </w:tcPr>
          <w:p w:rsidR="007C2AEC" w:rsidRPr="00D40DC4" w:rsidRDefault="007C2AEC" w:rsidP="007C2AEC">
            <w:pPr>
              <w:spacing w:after="0"/>
              <w:rPr>
                <w:rFonts w:cs="Arial"/>
                <w:szCs w:val="20"/>
              </w:rPr>
            </w:pPr>
          </w:p>
        </w:tc>
        <w:tc>
          <w:tcPr>
            <w:tcW w:w="841" w:type="pct"/>
          </w:tcPr>
          <w:p w:rsidR="007C2AEC" w:rsidRPr="00D40DC4" w:rsidRDefault="007C2AEC" w:rsidP="007C2AEC">
            <w:pPr>
              <w:spacing w:after="0"/>
              <w:rPr>
                <w:rFonts w:cs="Arial"/>
                <w:szCs w:val="20"/>
              </w:rPr>
            </w:pPr>
          </w:p>
        </w:tc>
      </w:tr>
      <w:tr w:rsidR="007C2AEC" w:rsidRPr="00D40DC4" w:rsidTr="007C2AEC">
        <w:trPr>
          <w:trHeight w:val="255"/>
        </w:trPr>
        <w:tc>
          <w:tcPr>
            <w:tcW w:w="0" w:type="auto"/>
            <w:shd w:val="clear" w:color="auto" w:fill="auto"/>
            <w:noWrap/>
          </w:tcPr>
          <w:p w:rsidR="007C2AEC" w:rsidRPr="00D40DC4" w:rsidRDefault="007C2AEC" w:rsidP="006F2748">
            <w:pPr>
              <w:numPr>
                <w:ilvl w:val="0"/>
                <w:numId w:val="73"/>
              </w:numPr>
              <w:rPr>
                <w:szCs w:val="20"/>
              </w:rPr>
            </w:pPr>
            <w:r w:rsidRPr="00D40DC4">
              <w:t>tétel 3</w:t>
            </w:r>
          </w:p>
        </w:tc>
        <w:tc>
          <w:tcPr>
            <w:tcW w:w="840" w:type="pct"/>
            <w:shd w:val="clear" w:color="auto" w:fill="auto"/>
            <w:noWrap/>
            <w:vAlign w:val="bottom"/>
          </w:tcPr>
          <w:p w:rsidR="007C2AEC" w:rsidRPr="00D40DC4" w:rsidRDefault="007C2AEC" w:rsidP="007C2AEC">
            <w:pPr>
              <w:spacing w:after="0"/>
              <w:rPr>
                <w:rFonts w:cs="Arial"/>
                <w:szCs w:val="20"/>
              </w:rPr>
            </w:pPr>
          </w:p>
        </w:tc>
        <w:tc>
          <w:tcPr>
            <w:tcW w:w="841" w:type="pct"/>
            <w:vAlign w:val="bottom"/>
          </w:tcPr>
          <w:p w:rsidR="007C2AEC" w:rsidRPr="00D40DC4" w:rsidRDefault="007C2AEC" w:rsidP="007C2AEC">
            <w:pPr>
              <w:spacing w:after="0"/>
              <w:rPr>
                <w:rFonts w:cs="Arial"/>
                <w:szCs w:val="20"/>
              </w:rPr>
            </w:pPr>
          </w:p>
        </w:tc>
        <w:tc>
          <w:tcPr>
            <w:tcW w:w="188" w:type="pct"/>
          </w:tcPr>
          <w:p w:rsidR="007C2AEC" w:rsidRPr="00D40DC4" w:rsidRDefault="007C2AEC" w:rsidP="007C2AEC">
            <w:pPr>
              <w:spacing w:after="0"/>
              <w:rPr>
                <w:rFonts w:cs="Arial"/>
                <w:szCs w:val="20"/>
              </w:rPr>
            </w:pPr>
          </w:p>
        </w:tc>
        <w:tc>
          <w:tcPr>
            <w:tcW w:w="841" w:type="pct"/>
          </w:tcPr>
          <w:p w:rsidR="007C2AEC" w:rsidRPr="00D40DC4" w:rsidRDefault="007C2AEC" w:rsidP="007C2AEC">
            <w:pPr>
              <w:spacing w:after="0"/>
              <w:rPr>
                <w:rFonts w:cs="Arial"/>
                <w:szCs w:val="20"/>
              </w:rPr>
            </w:pPr>
          </w:p>
        </w:tc>
      </w:tr>
    </w:tbl>
    <w:p w:rsidR="007C2AEC" w:rsidRPr="00D40DC4" w:rsidRDefault="007C2AEC" w:rsidP="007C2AEC">
      <w:pPr>
        <w:rPr>
          <w:rFonts w:cs="Arial"/>
        </w:rPr>
      </w:pPr>
    </w:p>
    <w:p w:rsidR="007C2AEC" w:rsidRPr="00D40DC4" w:rsidRDefault="007C2AEC" w:rsidP="007C2AEC">
      <w:pPr>
        <w:pStyle w:val="Cmsor5"/>
      </w:pPr>
      <w:r w:rsidRPr="00D40DC4">
        <w:lastRenderedPageBreak/>
        <w:t>A költségek becslésének outputja</w:t>
      </w:r>
    </w:p>
    <w:p w:rsidR="007C2AEC" w:rsidRPr="00D40DC4" w:rsidRDefault="007C2AEC" w:rsidP="007C2AEC">
      <w:r w:rsidRPr="00D40DC4">
        <w:rPr>
          <w:lang w:eastAsia="x-none"/>
        </w:rPr>
        <w:t>A következő táblázatban összegezzük a projekt üzemeltetési és karbantartási költségeit. Azon sorokat, melyek összege mind projekt nélküli, mind projektes esetben 0, nem szükséges bemutatni.</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496" w:name="_Toc436923943"/>
      <w:r w:rsidR="007B4938" w:rsidRPr="00D40DC4">
        <w:rPr>
          <w:noProof/>
        </w:rPr>
        <w:t>10</w:t>
      </w:r>
      <w:r w:rsidRPr="00D40DC4">
        <w:rPr>
          <w:noProof/>
        </w:rPr>
        <w:fldChar w:fldCharType="end"/>
      </w:r>
      <w:r w:rsidRPr="00D40DC4">
        <w:rPr>
          <w:noProof/>
        </w:rPr>
        <w:t>. táblázat: Üzemeltetési, karbantartási költségek (Ft, különbözet)</w:t>
      </w:r>
      <w:bookmarkEnd w:id="4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7C2AEC" w:rsidRPr="00D40DC4" w:rsidTr="007C2AEC">
        <w:trPr>
          <w:trHeight w:val="255"/>
          <w:tblHeader/>
        </w:trPr>
        <w:tc>
          <w:tcPr>
            <w:tcW w:w="1953"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783"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FPV</w:t>
            </w:r>
          </w:p>
        </w:tc>
        <w:tc>
          <w:tcPr>
            <w:tcW w:w="703" w:type="pct"/>
            <w:shd w:val="clear" w:color="auto" w:fill="99CCFF"/>
          </w:tcPr>
          <w:p w:rsidR="007C2AEC" w:rsidRPr="00D40DC4" w:rsidRDefault="007C2AEC" w:rsidP="007C2AEC">
            <w:pPr>
              <w:spacing w:after="0"/>
              <w:jc w:val="center"/>
              <w:rPr>
                <w:rFonts w:cs="Arial"/>
                <w:b/>
                <w:szCs w:val="20"/>
              </w:rPr>
            </w:pPr>
            <w:r w:rsidRPr="00D40DC4">
              <w:rPr>
                <w:rFonts w:cs="Arial"/>
                <w:b/>
                <w:szCs w:val="20"/>
              </w:rPr>
              <w:t>1. év</w:t>
            </w:r>
          </w:p>
        </w:tc>
        <w:tc>
          <w:tcPr>
            <w:tcW w:w="704" w:type="pct"/>
            <w:shd w:val="clear" w:color="auto" w:fill="99CCFF"/>
          </w:tcPr>
          <w:p w:rsidR="007C2AEC" w:rsidRPr="00D40DC4" w:rsidRDefault="007C2AEC" w:rsidP="007C2AEC">
            <w:pPr>
              <w:spacing w:after="0"/>
              <w:jc w:val="center"/>
              <w:rPr>
                <w:rFonts w:cs="Arial"/>
                <w:b/>
                <w:szCs w:val="20"/>
              </w:rPr>
            </w:pPr>
            <w:r w:rsidRPr="00D40DC4">
              <w:rPr>
                <w:rFonts w:cs="Arial"/>
                <w:b/>
                <w:szCs w:val="20"/>
              </w:rPr>
              <w:t>2. év</w:t>
            </w:r>
          </w:p>
        </w:tc>
        <w:tc>
          <w:tcPr>
            <w:tcW w:w="141"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w:t>
            </w:r>
          </w:p>
        </w:tc>
        <w:tc>
          <w:tcPr>
            <w:tcW w:w="716" w:type="pct"/>
            <w:shd w:val="clear" w:color="auto" w:fill="99CCFF"/>
            <w:noWrap/>
            <w:vAlign w:val="bottom"/>
          </w:tcPr>
          <w:p w:rsidR="007C2AEC" w:rsidRPr="00D40DC4" w:rsidRDefault="007C2AEC" w:rsidP="007C2AEC">
            <w:pPr>
              <w:spacing w:after="0"/>
              <w:jc w:val="center"/>
              <w:rPr>
                <w:rFonts w:cs="Arial"/>
                <w:b/>
                <w:szCs w:val="20"/>
              </w:rPr>
            </w:pPr>
            <w:r w:rsidRPr="00D40DC4">
              <w:rPr>
                <w:rFonts w:cs="Arial"/>
                <w:b/>
                <w:szCs w:val="20"/>
              </w:rPr>
              <w:t>n. év</w:t>
            </w: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1</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2</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3</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Üzemeltetési költség összesen</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1</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2</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tétel 3</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Karbantartási költség összesen</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953" w:type="pct"/>
            <w:shd w:val="clear" w:color="auto" w:fill="auto"/>
            <w:noWrap/>
          </w:tcPr>
          <w:p w:rsidR="007C2AEC" w:rsidRPr="00D40DC4" w:rsidRDefault="007C2AEC" w:rsidP="006F2748">
            <w:pPr>
              <w:numPr>
                <w:ilvl w:val="0"/>
                <w:numId w:val="55"/>
              </w:numPr>
              <w:rPr>
                <w:szCs w:val="20"/>
              </w:rPr>
            </w:pPr>
            <w:r w:rsidRPr="00D40DC4">
              <w:t xml:space="preserve">Mindösszesen </w:t>
            </w:r>
          </w:p>
        </w:tc>
        <w:tc>
          <w:tcPr>
            <w:tcW w:w="783" w:type="pct"/>
            <w:shd w:val="clear" w:color="auto" w:fill="auto"/>
            <w:noWrap/>
            <w:vAlign w:val="bottom"/>
          </w:tcPr>
          <w:p w:rsidR="007C2AEC" w:rsidRPr="00D40DC4" w:rsidRDefault="007C2AEC" w:rsidP="007C2AEC">
            <w:pPr>
              <w:spacing w:after="0"/>
              <w:rPr>
                <w:rFonts w:cs="Arial"/>
                <w:b/>
                <w:szCs w:val="20"/>
              </w:rPr>
            </w:pPr>
          </w:p>
        </w:tc>
        <w:tc>
          <w:tcPr>
            <w:tcW w:w="703" w:type="pct"/>
          </w:tcPr>
          <w:p w:rsidR="007C2AEC" w:rsidRPr="00D40DC4" w:rsidRDefault="007C2AEC" w:rsidP="007C2AEC">
            <w:pPr>
              <w:spacing w:after="0"/>
              <w:rPr>
                <w:rFonts w:cs="Arial"/>
                <w:b/>
                <w:szCs w:val="20"/>
              </w:rPr>
            </w:pPr>
          </w:p>
        </w:tc>
        <w:tc>
          <w:tcPr>
            <w:tcW w:w="704" w:type="pct"/>
          </w:tcPr>
          <w:p w:rsidR="007C2AEC" w:rsidRPr="00D40DC4" w:rsidRDefault="007C2AEC" w:rsidP="007C2AEC">
            <w:pPr>
              <w:spacing w:after="0"/>
              <w:rPr>
                <w:rFonts w:cs="Arial"/>
                <w:b/>
                <w:szCs w:val="20"/>
              </w:rPr>
            </w:pPr>
          </w:p>
        </w:tc>
        <w:tc>
          <w:tcPr>
            <w:tcW w:w="141" w:type="pct"/>
            <w:shd w:val="clear" w:color="auto" w:fill="auto"/>
            <w:noWrap/>
            <w:vAlign w:val="bottom"/>
          </w:tcPr>
          <w:p w:rsidR="007C2AEC" w:rsidRPr="00D40DC4" w:rsidRDefault="007C2AEC" w:rsidP="007C2AEC">
            <w:pPr>
              <w:spacing w:after="0"/>
              <w:rPr>
                <w:rFonts w:cs="Arial"/>
                <w:b/>
                <w:szCs w:val="20"/>
              </w:rPr>
            </w:pPr>
          </w:p>
        </w:tc>
        <w:tc>
          <w:tcPr>
            <w:tcW w:w="716" w:type="pct"/>
            <w:shd w:val="clear" w:color="auto" w:fill="auto"/>
            <w:noWrap/>
            <w:vAlign w:val="bottom"/>
          </w:tcPr>
          <w:p w:rsidR="007C2AEC" w:rsidRPr="00D40DC4" w:rsidRDefault="007C2AEC" w:rsidP="007C2AEC">
            <w:pPr>
              <w:spacing w:after="0"/>
              <w:rPr>
                <w:rFonts w:cs="Arial"/>
                <w:b/>
                <w:szCs w:val="20"/>
              </w:rPr>
            </w:pPr>
          </w:p>
        </w:tc>
      </w:tr>
    </w:tbl>
    <w:p w:rsidR="007C2AEC" w:rsidRPr="00D40DC4" w:rsidRDefault="007C2AEC" w:rsidP="005A76C2">
      <w:pPr>
        <w:pStyle w:val="Cmsor4"/>
      </w:pPr>
      <w:r w:rsidRPr="00D40DC4">
        <w:t>Pótlási költség</w:t>
      </w:r>
    </w:p>
    <w:p w:rsidR="00B10DC2" w:rsidRPr="00D40DC4" w:rsidRDefault="00B10DC2" w:rsidP="00B10DC2">
      <w:pPr>
        <w:pStyle w:val="Cmsor5"/>
      </w:pPr>
      <w:r w:rsidRPr="00D40DC4">
        <w:t>A költségek becslésének módszertana</w:t>
      </w:r>
    </w:p>
    <w:p w:rsidR="00B10DC2" w:rsidRPr="00D40DC4" w:rsidRDefault="00B10DC2" w:rsidP="00B10DC2">
      <w:pPr>
        <w:rPr>
          <w:rFonts w:cs="Arial"/>
        </w:rPr>
      </w:pPr>
      <w:r w:rsidRPr="00D40DC4">
        <w:rPr>
          <w:rFonts w:cs="Arial"/>
        </w:rPr>
        <w:t xml:space="preserve">A pótlás fogalmába az eszközök cseréje tartozik (például selejtezéskor). A költség-haszon elemzés pénzforgalmi szemléleten alapul, így értékcsökkenést nem tartalmazhat. </w:t>
      </w:r>
    </w:p>
    <w:p w:rsidR="00B10DC2" w:rsidRPr="00D40DC4" w:rsidRDefault="00B10DC2" w:rsidP="00B10DC2">
      <w:pPr>
        <w:pStyle w:val="Cmsor5"/>
      </w:pPr>
      <w:r w:rsidRPr="00D40DC4">
        <w:t>A becsléshez használt inputok</w:t>
      </w:r>
    </w:p>
    <w:p w:rsidR="00B10DC2" w:rsidRPr="00D40DC4" w:rsidRDefault="00B10DC2" w:rsidP="00B10DC2">
      <w:pPr>
        <w:rPr>
          <w:rFonts w:cs="Arial"/>
        </w:rPr>
      </w:pPr>
      <w:r w:rsidRPr="00D40DC4">
        <w:rPr>
          <w:rFonts w:cs="Arial"/>
        </w:rPr>
        <w:t>A pótlási költségek becsléséhez a beruházási költségeknél megadott inputokon túl szükséges a beruházás keretében létrejött eszközökre és a projekt által használt meglévő eszközökre vonatkozóan:</w:t>
      </w:r>
    </w:p>
    <w:p w:rsidR="00B10DC2" w:rsidRPr="00D40DC4" w:rsidRDefault="00B10DC2" w:rsidP="006C5A6D">
      <w:pPr>
        <w:numPr>
          <w:ilvl w:val="0"/>
          <w:numId w:val="13"/>
        </w:numPr>
      </w:pPr>
      <w:r w:rsidRPr="00D40DC4">
        <w:t xml:space="preserve">az eszközök hasznos élettartama (vagy értékcsökkenési leírási kulcsa), </w:t>
      </w:r>
    </w:p>
    <w:p w:rsidR="00B10DC2" w:rsidRPr="00D40DC4" w:rsidRDefault="00B10DC2" w:rsidP="006C5A6D">
      <w:pPr>
        <w:numPr>
          <w:ilvl w:val="0"/>
          <w:numId w:val="13"/>
        </w:numPr>
      </w:pPr>
      <w:r w:rsidRPr="00D40DC4">
        <w:t>a vizsgált időtartam idején pótlandó eszközök darabszáma,</w:t>
      </w:r>
    </w:p>
    <w:p w:rsidR="00B10DC2" w:rsidRPr="00D40DC4" w:rsidRDefault="00B10DC2" w:rsidP="006C5A6D">
      <w:pPr>
        <w:numPr>
          <w:ilvl w:val="0"/>
          <w:numId w:val="13"/>
        </w:numPr>
      </w:pPr>
      <w:r w:rsidRPr="00D40DC4">
        <w:t>a pótlandó eszközök fajlagos pótlási költsége (Ft/db).</w:t>
      </w:r>
    </w:p>
    <w:p w:rsidR="00B10DC2" w:rsidRPr="00D40DC4" w:rsidRDefault="00B10DC2" w:rsidP="006C5A6D">
      <w:pPr>
        <w:numPr>
          <w:ilvl w:val="0"/>
          <w:numId w:val="13"/>
        </w:numPr>
      </w:pPr>
      <w:r w:rsidRPr="00D40DC4">
        <w:t>a pótlási költségek időbeli megoszlása.</w:t>
      </w:r>
    </w:p>
    <w:p w:rsidR="007C2AEC" w:rsidRPr="00D40DC4" w:rsidRDefault="007C2AEC" w:rsidP="007C2AEC">
      <w:pPr>
        <w:rPr>
          <w:rFonts w:cs="Arial"/>
        </w:rPr>
      </w:pPr>
      <w:r w:rsidRPr="00D40DC4">
        <w:rPr>
          <w:rFonts w:cs="Arial"/>
        </w:rPr>
        <w:t>A pótlási költségeket műszaki adatokkal szükséges alátámasztani. Az eszközök pótlásának (cseréjének) költségét a vizsgált időtáv során az alábbi módokon lehet a számítások során megjeleníteni:</w:t>
      </w:r>
    </w:p>
    <w:p w:rsidR="007C2AEC" w:rsidRPr="00D40DC4" w:rsidRDefault="007C2AEC" w:rsidP="006C5A6D">
      <w:pPr>
        <w:numPr>
          <w:ilvl w:val="0"/>
          <w:numId w:val="13"/>
        </w:numPr>
      </w:pPr>
      <w:r w:rsidRPr="00D40DC4">
        <w:t>a pótlási költség tényleges felmerülésének évében, vagy</w:t>
      </w:r>
    </w:p>
    <w:p w:rsidR="007C2AEC" w:rsidRPr="00D40DC4" w:rsidRDefault="007C2AEC" w:rsidP="006C5A6D">
      <w:pPr>
        <w:numPr>
          <w:ilvl w:val="0"/>
          <w:numId w:val="13"/>
        </w:numPr>
      </w:pPr>
      <w:r w:rsidRPr="00D40DC4">
        <w:t xml:space="preserve">a vizsgált időtáv műszaki szempontok alapján történő szakaszolásával, mely során a pótlási költség több évre kerül elosztva. </w:t>
      </w:r>
    </w:p>
    <w:p w:rsidR="007C2AEC" w:rsidRPr="00D40DC4" w:rsidRDefault="002C4DE0" w:rsidP="002314F2">
      <w:pPr>
        <w:pStyle w:val="Tblzat"/>
      </w:pPr>
      <w:r>
        <w:fldChar w:fldCharType="begin"/>
      </w:r>
      <w:r>
        <w:instrText xml:space="preserve"> SEQ táblázat \* ARABIC </w:instrText>
      </w:r>
      <w:r>
        <w:fldChar w:fldCharType="separate"/>
      </w:r>
      <w:bookmarkStart w:id="497" w:name="_Toc436923944"/>
      <w:r w:rsidR="007B4938" w:rsidRPr="00D40DC4">
        <w:rPr>
          <w:noProof/>
        </w:rPr>
        <w:t>11</w:t>
      </w:r>
      <w:r>
        <w:rPr>
          <w:noProof/>
        </w:rPr>
        <w:fldChar w:fldCharType="end"/>
      </w:r>
      <w:r w:rsidR="007C2AEC" w:rsidRPr="00D40DC4">
        <w:t>. táblázat: A projekt keretében aktivált eszközök értéke és hasznos élettartama</w:t>
      </w:r>
      <w:bookmarkEnd w:id="4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055"/>
        <w:gridCol w:w="2056"/>
      </w:tblGrid>
      <w:tr w:rsidR="007C2AEC" w:rsidRPr="00D40DC4" w:rsidTr="007C2AEC">
        <w:trPr>
          <w:trHeight w:val="255"/>
          <w:tblHeader/>
        </w:trPr>
        <w:tc>
          <w:tcPr>
            <w:tcW w:w="1838" w:type="dxa"/>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2055" w:type="dxa"/>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Aktivált érték</w:t>
            </w:r>
          </w:p>
          <w:p w:rsidR="007C2AEC" w:rsidRPr="00D40DC4" w:rsidRDefault="007C2AEC" w:rsidP="007C2AEC">
            <w:pPr>
              <w:spacing w:after="0"/>
              <w:jc w:val="center"/>
              <w:rPr>
                <w:rFonts w:cs="Arial"/>
                <w:b/>
                <w:szCs w:val="20"/>
              </w:rPr>
            </w:pPr>
            <w:r w:rsidRPr="00D40DC4">
              <w:rPr>
                <w:rFonts w:cs="Arial"/>
                <w:b/>
                <w:szCs w:val="20"/>
              </w:rPr>
              <w:t>(Ft)</w:t>
            </w:r>
          </w:p>
        </w:tc>
        <w:tc>
          <w:tcPr>
            <w:tcW w:w="2056" w:type="dxa"/>
            <w:shd w:val="clear" w:color="auto" w:fill="99CCFF"/>
            <w:vAlign w:val="center"/>
          </w:tcPr>
          <w:p w:rsidR="007C2AEC" w:rsidRPr="00D40DC4" w:rsidRDefault="007C2AEC" w:rsidP="007C2AEC">
            <w:pPr>
              <w:spacing w:after="0"/>
              <w:jc w:val="center"/>
              <w:rPr>
                <w:rFonts w:cs="Arial"/>
                <w:b/>
                <w:szCs w:val="20"/>
              </w:rPr>
            </w:pPr>
            <w:r w:rsidRPr="00D40DC4">
              <w:rPr>
                <w:rFonts w:cs="Arial"/>
                <w:b/>
                <w:szCs w:val="20"/>
              </w:rPr>
              <w:t>Hasznos élettartam</w:t>
            </w:r>
          </w:p>
          <w:p w:rsidR="007C2AEC" w:rsidRPr="00D40DC4" w:rsidRDefault="007C2AEC" w:rsidP="007C2AEC">
            <w:pPr>
              <w:spacing w:after="0"/>
              <w:jc w:val="center"/>
              <w:rPr>
                <w:rFonts w:cs="Arial"/>
                <w:b/>
                <w:szCs w:val="20"/>
              </w:rPr>
            </w:pPr>
            <w:r w:rsidRPr="00D40DC4">
              <w:rPr>
                <w:rFonts w:cs="Arial"/>
                <w:b/>
                <w:szCs w:val="20"/>
              </w:rPr>
              <w:t>(év)</w:t>
            </w:r>
          </w:p>
        </w:tc>
      </w:tr>
      <w:tr w:rsidR="007C2AEC" w:rsidRPr="00D40DC4" w:rsidTr="007C2AEC">
        <w:trPr>
          <w:trHeight w:val="255"/>
        </w:trPr>
        <w:tc>
          <w:tcPr>
            <w:tcW w:w="1838" w:type="dxa"/>
            <w:shd w:val="clear" w:color="auto" w:fill="auto"/>
            <w:noWrap/>
          </w:tcPr>
          <w:p w:rsidR="007C2AEC" w:rsidRPr="00D40DC4" w:rsidRDefault="007C2AEC" w:rsidP="006F2748">
            <w:pPr>
              <w:numPr>
                <w:ilvl w:val="0"/>
                <w:numId w:val="57"/>
              </w:numPr>
              <w:rPr>
                <w:szCs w:val="20"/>
              </w:rPr>
            </w:pPr>
            <w:r w:rsidRPr="00D40DC4">
              <w:t>tétel 1</w:t>
            </w:r>
          </w:p>
        </w:tc>
        <w:tc>
          <w:tcPr>
            <w:tcW w:w="2055" w:type="dxa"/>
            <w:shd w:val="clear" w:color="auto" w:fill="auto"/>
            <w:noWrap/>
            <w:vAlign w:val="bottom"/>
          </w:tcPr>
          <w:p w:rsidR="007C2AEC" w:rsidRPr="00D40DC4" w:rsidRDefault="007C2AEC" w:rsidP="007C2AEC">
            <w:pPr>
              <w:spacing w:after="0"/>
              <w:rPr>
                <w:rFonts w:cs="Arial"/>
                <w:szCs w:val="20"/>
              </w:rPr>
            </w:pPr>
          </w:p>
        </w:tc>
        <w:tc>
          <w:tcPr>
            <w:tcW w:w="2056" w:type="dxa"/>
            <w:vAlign w:val="bottom"/>
          </w:tcPr>
          <w:p w:rsidR="007C2AEC" w:rsidRPr="00D40DC4" w:rsidRDefault="007C2AEC" w:rsidP="007C2AEC">
            <w:pPr>
              <w:spacing w:after="0"/>
              <w:rPr>
                <w:rFonts w:cs="Arial"/>
                <w:szCs w:val="20"/>
              </w:rPr>
            </w:pPr>
          </w:p>
        </w:tc>
      </w:tr>
      <w:tr w:rsidR="007C2AEC" w:rsidRPr="00D40DC4" w:rsidTr="007C2AEC">
        <w:trPr>
          <w:trHeight w:val="255"/>
        </w:trPr>
        <w:tc>
          <w:tcPr>
            <w:tcW w:w="1838" w:type="dxa"/>
            <w:shd w:val="clear" w:color="auto" w:fill="auto"/>
            <w:noWrap/>
          </w:tcPr>
          <w:p w:rsidR="007C2AEC" w:rsidRPr="00D40DC4" w:rsidRDefault="007C2AEC" w:rsidP="006F2748">
            <w:pPr>
              <w:numPr>
                <w:ilvl w:val="0"/>
                <w:numId w:val="57"/>
              </w:numPr>
              <w:rPr>
                <w:szCs w:val="20"/>
              </w:rPr>
            </w:pPr>
            <w:r w:rsidRPr="00D40DC4">
              <w:t>tétel 2</w:t>
            </w:r>
          </w:p>
        </w:tc>
        <w:tc>
          <w:tcPr>
            <w:tcW w:w="2055" w:type="dxa"/>
            <w:shd w:val="clear" w:color="auto" w:fill="auto"/>
            <w:noWrap/>
            <w:vAlign w:val="bottom"/>
          </w:tcPr>
          <w:p w:rsidR="007C2AEC" w:rsidRPr="00D40DC4" w:rsidRDefault="007C2AEC" w:rsidP="007C2AEC">
            <w:pPr>
              <w:spacing w:after="0"/>
              <w:rPr>
                <w:rFonts w:cs="Arial"/>
                <w:szCs w:val="20"/>
              </w:rPr>
            </w:pPr>
          </w:p>
        </w:tc>
        <w:tc>
          <w:tcPr>
            <w:tcW w:w="2056" w:type="dxa"/>
            <w:vAlign w:val="bottom"/>
          </w:tcPr>
          <w:p w:rsidR="007C2AEC" w:rsidRPr="00D40DC4" w:rsidRDefault="007C2AEC" w:rsidP="007C2AEC">
            <w:pPr>
              <w:spacing w:after="0"/>
              <w:rPr>
                <w:rFonts w:cs="Arial"/>
                <w:szCs w:val="20"/>
              </w:rPr>
            </w:pPr>
          </w:p>
        </w:tc>
      </w:tr>
      <w:tr w:rsidR="007C2AEC" w:rsidRPr="00D40DC4" w:rsidTr="007C2AEC">
        <w:trPr>
          <w:trHeight w:val="255"/>
        </w:trPr>
        <w:tc>
          <w:tcPr>
            <w:tcW w:w="1838" w:type="dxa"/>
            <w:shd w:val="clear" w:color="auto" w:fill="auto"/>
            <w:noWrap/>
          </w:tcPr>
          <w:p w:rsidR="007C2AEC" w:rsidRPr="00D40DC4" w:rsidRDefault="007C2AEC" w:rsidP="006F2748">
            <w:pPr>
              <w:numPr>
                <w:ilvl w:val="0"/>
                <w:numId w:val="57"/>
              </w:numPr>
              <w:rPr>
                <w:szCs w:val="20"/>
              </w:rPr>
            </w:pPr>
            <w:r w:rsidRPr="00D40DC4">
              <w:t>tétel 3</w:t>
            </w:r>
          </w:p>
        </w:tc>
        <w:tc>
          <w:tcPr>
            <w:tcW w:w="2055" w:type="dxa"/>
            <w:shd w:val="clear" w:color="auto" w:fill="auto"/>
            <w:noWrap/>
            <w:vAlign w:val="bottom"/>
          </w:tcPr>
          <w:p w:rsidR="007C2AEC" w:rsidRPr="00D40DC4" w:rsidRDefault="007C2AEC" w:rsidP="007C2AEC">
            <w:pPr>
              <w:spacing w:after="0"/>
              <w:rPr>
                <w:rFonts w:cs="Arial"/>
                <w:szCs w:val="20"/>
              </w:rPr>
            </w:pPr>
          </w:p>
        </w:tc>
        <w:tc>
          <w:tcPr>
            <w:tcW w:w="2056" w:type="dxa"/>
            <w:vAlign w:val="bottom"/>
          </w:tcPr>
          <w:p w:rsidR="007C2AEC" w:rsidRPr="00D40DC4" w:rsidRDefault="007C2AEC" w:rsidP="007C2AEC">
            <w:pPr>
              <w:spacing w:after="0"/>
              <w:rPr>
                <w:rFonts w:cs="Arial"/>
                <w:szCs w:val="20"/>
              </w:rPr>
            </w:pPr>
          </w:p>
        </w:tc>
      </w:tr>
      <w:tr w:rsidR="007C2AEC" w:rsidRPr="00D40DC4" w:rsidTr="007C2AEC">
        <w:trPr>
          <w:trHeight w:val="255"/>
        </w:trPr>
        <w:tc>
          <w:tcPr>
            <w:tcW w:w="1838" w:type="dxa"/>
            <w:shd w:val="clear" w:color="auto" w:fill="auto"/>
            <w:noWrap/>
          </w:tcPr>
          <w:p w:rsidR="007C2AEC" w:rsidRPr="00D40DC4" w:rsidRDefault="007C2AEC" w:rsidP="006F2748">
            <w:pPr>
              <w:numPr>
                <w:ilvl w:val="0"/>
                <w:numId w:val="57"/>
              </w:numPr>
              <w:rPr>
                <w:szCs w:val="20"/>
              </w:rPr>
            </w:pPr>
            <w:r w:rsidRPr="00D40DC4">
              <w:t>tétel 4</w:t>
            </w:r>
          </w:p>
        </w:tc>
        <w:tc>
          <w:tcPr>
            <w:tcW w:w="2055" w:type="dxa"/>
            <w:shd w:val="clear" w:color="auto" w:fill="auto"/>
            <w:noWrap/>
            <w:vAlign w:val="bottom"/>
          </w:tcPr>
          <w:p w:rsidR="007C2AEC" w:rsidRPr="00D40DC4" w:rsidRDefault="007C2AEC" w:rsidP="007C2AEC">
            <w:pPr>
              <w:spacing w:after="0"/>
              <w:rPr>
                <w:rFonts w:cs="Arial"/>
                <w:szCs w:val="20"/>
              </w:rPr>
            </w:pPr>
          </w:p>
        </w:tc>
        <w:tc>
          <w:tcPr>
            <w:tcW w:w="2056" w:type="dxa"/>
            <w:vAlign w:val="bottom"/>
          </w:tcPr>
          <w:p w:rsidR="007C2AEC" w:rsidRPr="00D40DC4" w:rsidRDefault="007C2AEC" w:rsidP="007C2AEC">
            <w:pPr>
              <w:spacing w:after="0"/>
              <w:rPr>
                <w:rFonts w:cs="Arial"/>
                <w:szCs w:val="20"/>
              </w:rPr>
            </w:pPr>
          </w:p>
        </w:tc>
      </w:tr>
      <w:tr w:rsidR="007C2AEC" w:rsidRPr="00D40DC4" w:rsidTr="007C2AEC">
        <w:trPr>
          <w:trHeight w:val="255"/>
        </w:trPr>
        <w:tc>
          <w:tcPr>
            <w:tcW w:w="1838" w:type="dxa"/>
            <w:shd w:val="clear" w:color="auto" w:fill="auto"/>
            <w:noWrap/>
          </w:tcPr>
          <w:p w:rsidR="007C2AEC" w:rsidRPr="00D40DC4" w:rsidRDefault="007C2AEC" w:rsidP="006F2748">
            <w:pPr>
              <w:numPr>
                <w:ilvl w:val="0"/>
                <w:numId w:val="57"/>
              </w:numPr>
              <w:rPr>
                <w:szCs w:val="20"/>
              </w:rPr>
            </w:pPr>
            <w:r w:rsidRPr="00D40DC4">
              <w:t>tétel 5</w:t>
            </w:r>
          </w:p>
        </w:tc>
        <w:tc>
          <w:tcPr>
            <w:tcW w:w="2055" w:type="dxa"/>
            <w:shd w:val="clear" w:color="auto" w:fill="auto"/>
            <w:noWrap/>
            <w:vAlign w:val="bottom"/>
          </w:tcPr>
          <w:p w:rsidR="007C2AEC" w:rsidRPr="00D40DC4" w:rsidRDefault="007C2AEC" w:rsidP="007C2AEC">
            <w:pPr>
              <w:spacing w:after="0"/>
              <w:rPr>
                <w:rFonts w:cs="Arial"/>
                <w:szCs w:val="20"/>
              </w:rPr>
            </w:pPr>
          </w:p>
        </w:tc>
        <w:tc>
          <w:tcPr>
            <w:tcW w:w="2056" w:type="dxa"/>
            <w:vAlign w:val="bottom"/>
          </w:tcPr>
          <w:p w:rsidR="007C2AEC" w:rsidRPr="00D40DC4" w:rsidRDefault="007C2AEC" w:rsidP="007C2AEC">
            <w:pPr>
              <w:spacing w:after="0"/>
              <w:rPr>
                <w:rFonts w:cs="Arial"/>
                <w:szCs w:val="20"/>
              </w:rPr>
            </w:pPr>
          </w:p>
        </w:tc>
      </w:tr>
    </w:tbl>
    <w:p w:rsidR="00B10DC2" w:rsidRPr="00D40DC4" w:rsidRDefault="00B10DC2" w:rsidP="00B10DC2">
      <w:pPr>
        <w:pStyle w:val="Cmsor5"/>
      </w:pPr>
      <w:r w:rsidRPr="00D40DC4">
        <w:t>A költségek becslésének outputja</w:t>
      </w:r>
    </w:p>
    <w:p w:rsidR="007C2AEC" w:rsidRPr="00D40DC4" w:rsidRDefault="007C2AEC" w:rsidP="007C2AEC">
      <w:pPr>
        <w:rPr>
          <w:rFonts w:cs="Arial"/>
        </w:rPr>
      </w:pPr>
      <w:r w:rsidRPr="00D40DC4">
        <w:rPr>
          <w:rFonts w:cs="Arial"/>
        </w:rPr>
        <w:lastRenderedPageBreak/>
        <w:t>Bár a pótlási költség számvitelileg beruházási (felújítási) jellegű költség, a támogatási összeg kiszámításakor (az EU-s követelményeknek megfelelően) a működési költségek között kell elszámolni.</w:t>
      </w:r>
    </w:p>
    <w:p w:rsidR="007C2AEC" w:rsidRPr="00D40DC4" w:rsidRDefault="007C2AEC" w:rsidP="007C2AEC">
      <w:pPr>
        <w:rPr>
          <w:rFonts w:cs="Arial"/>
        </w:rPr>
      </w:pPr>
      <w:r w:rsidRPr="00D40DC4">
        <w:rPr>
          <w:rFonts w:cs="Arial"/>
        </w:rPr>
        <w:t>Abban az esetben, ha a vizsgálati időtáv utolsó éveiben jelentős összegű pótlás jelentkezik, a torzítások elkerülése érdekében a pótlási költség figyelmen kívül hagyható. Ezt az elemzésben feltétlenül fel kell tüntetni, továbbá javasolt az elmaradt pótlás miatt erre az időszakra magasabb üzemeltetési és karbantartási költségek alkalmazása.</w:t>
      </w:r>
    </w:p>
    <w:p w:rsidR="007C2AEC" w:rsidRPr="00D40DC4" w:rsidRDefault="002C4DE0" w:rsidP="002314F2">
      <w:pPr>
        <w:pStyle w:val="Tblzat"/>
      </w:pPr>
      <w:r>
        <w:fldChar w:fldCharType="begin"/>
      </w:r>
      <w:r>
        <w:instrText xml:space="preserve"> SEQ táblázat \* ARABIC </w:instrText>
      </w:r>
      <w:r>
        <w:fldChar w:fldCharType="separate"/>
      </w:r>
      <w:bookmarkStart w:id="498" w:name="_Toc436923945"/>
      <w:r w:rsidR="007B4938" w:rsidRPr="00D40DC4">
        <w:rPr>
          <w:noProof/>
        </w:rPr>
        <w:t>12</w:t>
      </w:r>
      <w:r>
        <w:rPr>
          <w:noProof/>
        </w:rPr>
        <w:fldChar w:fldCharType="end"/>
      </w:r>
      <w:r w:rsidR="007C2AEC" w:rsidRPr="00D40DC4">
        <w:t>. táblázat: A pótlási költség összegzése (Ft, különbözet)</w:t>
      </w:r>
      <w:bookmarkEnd w:id="4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7C2AEC" w:rsidRPr="00D40DC4" w:rsidTr="007C2AEC">
        <w:trPr>
          <w:trHeight w:val="255"/>
          <w:tblHeader/>
        </w:trPr>
        <w:tc>
          <w:tcPr>
            <w:tcW w:w="1953"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783"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FPV</w:t>
            </w:r>
          </w:p>
        </w:tc>
        <w:tc>
          <w:tcPr>
            <w:tcW w:w="703" w:type="pct"/>
            <w:shd w:val="clear" w:color="auto" w:fill="99CCFF"/>
          </w:tcPr>
          <w:p w:rsidR="007C2AEC" w:rsidRPr="00D40DC4" w:rsidRDefault="007C2AEC" w:rsidP="007C2AEC">
            <w:pPr>
              <w:spacing w:after="0"/>
              <w:jc w:val="center"/>
              <w:rPr>
                <w:rFonts w:cs="Arial"/>
                <w:b/>
                <w:szCs w:val="20"/>
              </w:rPr>
            </w:pPr>
            <w:r w:rsidRPr="00D40DC4">
              <w:rPr>
                <w:rFonts w:cs="Arial"/>
                <w:b/>
                <w:szCs w:val="20"/>
              </w:rPr>
              <w:t>1. év</w:t>
            </w:r>
          </w:p>
        </w:tc>
        <w:tc>
          <w:tcPr>
            <w:tcW w:w="704" w:type="pct"/>
            <w:shd w:val="clear" w:color="auto" w:fill="99CCFF"/>
          </w:tcPr>
          <w:p w:rsidR="007C2AEC" w:rsidRPr="00D40DC4" w:rsidRDefault="007C2AEC" w:rsidP="007C2AEC">
            <w:pPr>
              <w:spacing w:after="0"/>
              <w:jc w:val="center"/>
              <w:rPr>
                <w:rFonts w:cs="Arial"/>
                <w:b/>
                <w:szCs w:val="20"/>
              </w:rPr>
            </w:pPr>
            <w:r w:rsidRPr="00D40DC4">
              <w:rPr>
                <w:rFonts w:cs="Arial"/>
                <w:b/>
                <w:szCs w:val="20"/>
              </w:rPr>
              <w:t>2. év</w:t>
            </w:r>
          </w:p>
        </w:tc>
        <w:tc>
          <w:tcPr>
            <w:tcW w:w="141"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w:t>
            </w:r>
          </w:p>
        </w:tc>
        <w:tc>
          <w:tcPr>
            <w:tcW w:w="716" w:type="pct"/>
            <w:shd w:val="clear" w:color="auto" w:fill="99CCFF"/>
            <w:noWrap/>
            <w:vAlign w:val="bottom"/>
          </w:tcPr>
          <w:p w:rsidR="007C2AEC" w:rsidRPr="00D40DC4" w:rsidRDefault="007C2AEC" w:rsidP="007C2AEC">
            <w:pPr>
              <w:spacing w:after="0"/>
              <w:jc w:val="center"/>
              <w:rPr>
                <w:rFonts w:cs="Arial"/>
                <w:b/>
                <w:szCs w:val="20"/>
              </w:rPr>
            </w:pPr>
            <w:r w:rsidRPr="00D40DC4">
              <w:rPr>
                <w:rFonts w:cs="Arial"/>
                <w:b/>
                <w:szCs w:val="20"/>
              </w:rPr>
              <w:t>n. év</w:t>
            </w:r>
          </w:p>
        </w:tc>
      </w:tr>
      <w:tr w:rsidR="007C2AEC" w:rsidRPr="00D40DC4" w:rsidTr="007C2AEC">
        <w:trPr>
          <w:trHeight w:val="255"/>
        </w:trPr>
        <w:tc>
          <w:tcPr>
            <w:tcW w:w="1953" w:type="pct"/>
            <w:shd w:val="clear" w:color="auto" w:fill="auto"/>
            <w:noWrap/>
            <w:vAlign w:val="bottom"/>
          </w:tcPr>
          <w:p w:rsidR="007C2AEC" w:rsidRPr="00D40DC4" w:rsidRDefault="007C2AEC" w:rsidP="006F2748">
            <w:pPr>
              <w:numPr>
                <w:ilvl w:val="0"/>
                <w:numId w:val="56"/>
              </w:numPr>
            </w:pPr>
            <w:r w:rsidRPr="00D40DC4">
              <w:t>Pótlási költség</w:t>
            </w:r>
          </w:p>
        </w:tc>
        <w:tc>
          <w:tcPr>
            <w:tcW w:w="783" w:type="pct"/>
            <w:shd w:val="clear" w:color="auto" w:fill="auto"/>
            <w:noWrap/>
            <w:vAlign w:val="bottom"/>
          </w:tcPr>
          <w:p w:rsidR="007C2AEC" w:rsidRPr="00D40DC4" w:rsidRDefault="007C2AEC" w:rsidP="007C2AEC">
            <w:pPr>
              <w:spacing w:after="0"/>
              <w:rPr>
                <w:rFonts w:cs="Arial"/>
                <w:szCs w:val="20"/>
              </w:rPr>
            </w:pPr>
          </w:p>
        </w:tc>
        <w:tc>
          <w:tcPr>
            <w:tcW w:w="703" w:type="pct"/>
          </w:tcPr>
          <w:p w:rsidR="007C2AEC" w:rsidRPr="00D40DC4" w:rsidRDefault="007C2AEC" w:rsidP="007C2AEC">
            <w:pPr>
              <w:spacing w:after="0"/>
              <w:rPr>
                <w:rFonts w:cs="Arial"/>
                <w:szCs w:val="20"/>
              </w:rPr>
            </w:pPr>
          </w:p>
        </w:tc>
        <w:tc>
          <w:tcPr>
            <w:tcW w:w="704" w:type="pct"/>
          </w:tcPr>
          <w:p w:rsidR="007C2AEC" w:rsidRPr="00D40DC4" w:rsidRDefault="007C2AEC" w:rsidP="007C2AEC">
            <w:pPr>
              <w:spacing w:after="0"/>
              <w:rPr>
                <w:rFonts w:cs="Arial"/>
                <w:szCs w:val="20"/>
              </w:rPr>
            </w:pPr>
          </w:p>
        </w:tc>
        <w:tc>
          <w:tcPr>
            <w:tcW w:w="141" w:type="pct"/>
            <w:shd w:val="clear" w:color="auto" w:fill="auto"/>
            <w:noWrap/>
            <w:vAlign w:val="bottom"/>
          </w:tcPr>
          <w:p w:rsidR="007C2AEC" w:rsidRPr="00D40DC4" w:rsidRDefault="007C2AEC" w:rsidP="007C2AEC">
            <w:pPr>
              <w:spacing w:after="0"/>
              <w:rPr>
                <w:rFonts w:cs="Arial"/>
                <w:szCs w:val="20"/>
              </w:rPr>
            </w:pPr>
          </w:p>
        </w:tc>
        <w:tc>
          <w:tcPr>
            <w:tcW w:w="716" w:type="pct"/>
            <w:shd w:val="clear" w:color="auto" w:fill="auto"/>
            <w:noWrap/>
            <w:vAlign w:val="bottom"/>
          </w:tcPr>
          <w:p w:rsidR="007C2AEC" w:rsidRPr="00D40DC4" w:rsidRDefault="007C2AEC" w:rsidP="007C2AEC">
            <w:pPr>
              <w:spacing w:after="0"/>
              <w:rPr>
                <w:rFonts w:cs="Arial"/>
                <w:szCs w:val="20"/>
              </w:rPr>
            </w:pPr>
          </w:p>
        </w:tc>
      </w:tr>
    </w:tbl>
    <w:p w:rsidR="007C2AEC" w:rsidRPr="00D40DC4" w:rsidRDefault="007C2AEC" w:rsidP="007C2AEC">
      <w:pPr>
        <w:rPr>
          <w:rFonts w:cs="Arial"/>
        </w:rPr>
      </w:pPr>
    </w:p>
    <w:p w:rsidR="007C2AEC" w:rsidRPr="00D40DC4" w:rsidRDefault="007C2AEC" w:rsidP="00DD7E6C">
      <w:pPr>
        <w:pStyle w:val="Cmsor3"/>
      </w:pPr>
      <w:bookmarkStart w:id="499" w:name="_Toc428779118"/>
      <w:bookmarkStart w:id="500" w:name="_Toc428779119"/>
      <w:bookmarkStart w:id="501" w:name="_Toc428779120"/>
      <w:bookmarkStart w:id="502" w:name="_Toc428779151"/>
      <w:bookmarkStart w:id="503" w:name="_Toc428779153"/>
      <w:bookmarkStart w:id="504" w:name="_Toc436923898"/>
      <w:bookmarkEnd w:id="499"/>
      <w:bookmarkEnd w:id="500"/>
      <w:bookmarkEnd w:id="501"/>
      <w:bookmarkEnd w:id="502"/>
      <w:r w:rsidRPr="00D40DC4">
        <w:t>Maradványérték becslése</w:t>
      </w:r>
      <w:bookmarkEnd w:id="503"/>
      <w:bookmarkEnd w:id="504"/>
    </w:p>
    <w:p w:rsidR="00B10DC2" w:rsidRPr="00D40DC4" w:rsidRDefault="00B10DC2" w:rsidP="00B10DC2">
      <w:pPr>
        <w:pStyle w:val="Cmsor7"/>
      </w:pPr>
      <w:r w:rsidRPr="00D40DC4">
        <w:t>Egyszerűsítés a maradványérték számításakor</w:t>
      </w:r>
    </w:p>
    <w:p w:rsidR="00B10DC2" w:rsidRPr="00D40DC4" w:rsidRDefault="00B10DC2" w:rsidP="00B10DC2">
      <w:pPr>
        <w:rPr>
          <w:rFonts w:cs="Arial"/>
        </w:rPr>
      </w:pPr>
      <w:r w:rsidRPr="00D40DC4">
        <w:rPr>
          <w:rFonts w:cs="Arial"/>
        </w:rPr>
        <w:t>Egyszerűsített számításra nincs mód, de csak akkor kell számolni, ha a támogatást a diszkontált nettó bevétel (DNR) számítás módszerével (finanszírozási hiány számítással) kell meghatározni.</w:t>
      </w:r>
    </w:p>
    <w:p w:rsidR="007C2AEC" w:rsidRPr="00D40DC4" w:rsidRDefault="007C2AEC" w:rsidP="005A76C2">
      <w:pPr>
        <w:pStyle w:val="Cmsor4"/>
      </w:pPr>
      <w:r w:rsidRPr="00D40DC4">
        <w:t>Általános szabályok</w:t>
      </w:r>
    </w:p>
    <w:p w:rsidR="007C2AEC" w:rsidRPr="00D40DC4" w:rsidRDefault="007C2AEC" w:rsidP="007C2AEC">
      <w:pPr>
        <w:rPr>
          <w:rFonts w:cs="Arial"/>
        </w:rPr>
      </w:pPr>
      <w:r w:rsidRPr="00D40DC4">
        <w:rPr>
          <w:rFonts w:cs="Arial"/>
        </w:rPr>
        <w:t>Az EU Útmutató ajánlása szerint a maradványértéket a projektértékelés során vagy beruházási költség</w:t>
      </w:r>
      <w:r w:rsidR="00B10DC2" w:rsidRPr="00D40DC4">
        <w:rPr>
          <w:rFonts w:cs="Arial"/>
        </w:rPr>
        <w:t xml:space="preserve">ek között (a költségekkel </w:t>
      </w:r>
      <w:r w:rsidRPr="00D40DC4">
        <w:rPr>
          <w:rFonts w:cs="Arial"/>
        </w:rPr>
        <w:t>ellentétes előjellel), vagy a bevételi pénzáramok között kell szerepeltetni.</w:t>
      </w:r>
    </w:p>
    <w:p w:rsidR="007C2AEC" w:rsidRPr="00D40DC4" w:rsidRDefault="007C2AEC" w:rsidP="007C2AEC">
      <w:pPr>
        <w:rPr>
          <w:rFonts w:cs="Arial"/>
        </w:rPr>
      </w:pPr>
      <w:r w:rsidRPr="00D40DC4">
        <w:rPr>
          <w:rFonts w:cs="Arial"/>
        </w:rPr>
        <w:t>A költség-haszon elemzés által figyelembe vett időtáv nem feltétlenül esik egybe a beruházás során létrejött létesítmények, eszközök élettartamával. Ebből adódóan ezen eszközök a vizsgált időszak után is értéket képviselhetnek, ezáltal vizsgált időtáv utolsó évében fel kell tüntetni a létesítmények, eszközök maradványértékét. A maradványérték az eszközök értéke a vizsgált időszak végén. Meghatározása az EU szabályok szerint főszabály szerint a hátralevő hasznos időtartam alatt termelődő nettó pénzáramok jelenértéke alapján történik.</w:t>
      </w:r>
    </w:p>
    <w:p w:rsidR="007C2AEC" w:rsidRPr="00D40DC4" w:rsidRDefault="007C2AEC" w:rsidP="007C2AEC">
      <w:pPr>
        <w:rPr>
          <w:rFonts w:cs="Arial"/>
        </w:rPr>
      </w:pPr>
      <w:r w:rsidRPr="00D40DC4">
        <w:rPr>
          <w:rFonts w:cs="Arial"/>
        </w:rPr>
        <w:t>A maradványérték számításakor szükséges annak meghatározása, hogy mely beruházási elemek a leginkább meghatározóak a projektben. A vizsgálati időszak valamint ezen eszközök élettartamának lejárta közötti időszakra kell meghatározni a várható nettó pénzáramokat, valamint azok a vizsgálati időszak végére számított jelenértékét. A becslés során, ha a keresletelemzés nem terjed ki erre az időszakra, alkalmazható az az egyszerűsítés, miszerint a költségek és bevételek a hasznos élettartam vizsgált időtávon túli részében a vizsgált időszak utolsó évével azonos, konstansnak tekinthetők. A maradványérték a vizsgálati időszak végére számított jelenérték elemzés kezdőévére számított jelenértéke.</w:t>
      </w:r>
    </w:p>
    <w:p w:rsidR="007C2AEC" w:rsidRPr="00D40DC4" w:rsidRDefault="007C2AEC" w:rsidP="007C2AEC">
      <w:pPr>
        <w:rPr>
          <w:rFonts w:cs="Arial"/>
        </w:rPr>
      </w:pPr>
      <w:r w:rsidRPr="00D40DC4">
        <w:rPr>
          <w:rFonts w:cs="Arial"/>
        </w:rPr>
        <w:t>Szintén lehetséges egyszerűsítési mód, ha a maradványértéket az utolsó vizsgált évet követő év nettó cash-flow-ja alapján örökjáradékként képezzük. A számítás módszere a következő:</w:t>
      </w:r>
    </w:p>
    <w:p w:rsidR="007C2AEC" w:rsidRPr="00D40DC4" w:rsidRDefault="007C2AEC" w:rsidP="007C2AEC">
      <w:pPr>
        <w:ind w:left="1276"/>
        <w:rPr>
          <w:rFonts w:cs="Arial"/>
        </w:rPr>
      </w:pPr>
      <w:r w:rsidRPr="00D40DC4">
        <w:rPr>
          <w:rFonts w:cs="Arial"/>
        </w:rPr>
        <w:object w:dxaOrig="1180" w:dyaOrig="620" w14:anchorId="492427F1">
          <v:shape id="_x0000_i1029" type="#_x0000_t75" style="width:59.25pt;height:27.75pt" o:ole="">
            <v:imagedata r:id="rId20" o:title=""/>
          </v:shape>
          <o:OLEObject Type="Embed" ProgID="Equation.3" ShapeID="_x0000_i1029" DrawAspect="Content" ObjectID="_1587988193" r:id="rId21"/>
        </w:object>
      </w:r>
    </w:p>
    <w:p w:rsidR="007C2AEC" w:rsidRPr="00D40DC4" w:rsidRDefault="007C2AEC" w:rsidP="007C2AEC">
      <w:pPr>
        <w:ind w:left="1843"/>
        <w:rPr>
          <w:rFonts w:cs="Arial"/>
        </w:rPr>
      </w:pPr>
      <w:r w:rsidRPr="00D40DC4">
        <w:rPr>
          <w:rFonts w:cs="Arial"/>
        </w:rPr>
        <w:t xml:space="preserve">ahol: </w:t>
      </w:r>
    </w:p>
    <w:p w:rsidR="007C2AEC" w:rsidRPr="00D40DC4" w:rsidRDefault="007C2AEC" w:rsidP="007C2AEC">
      <w:pPr>
        <w:spacing w:after="0"/>
        <w:ind w:left="2268"/>
        <w:rPr>
          <w:rFonts w:cs="Arial"/>
        </w:rPr>
      </w:pPr>
      <w:r w:rsidRPr="00D40DC4">
        <w:rPr>
          <w:rFonts w:cs="Arial"/>
        </w:rPr>
        <w:t>M: maradványérték</w:t>
      </w:r>
    </w:p>
    <w:p w:rsidR="007C2AEC" w:rsidRPr="00D40DC4" w:rsidRDefault="007C2AEC" w:rsidP="007C2AEC">
      <w:pPr>
        <w:spacing w:after="0"/>
        <w:ind w:left="2268"/>
        <w:rPr>
          <w:rFonts w:cs="Arial"/>
        </w:rPr>
      </w:pPr>
      <w:r w:rsidRPr="00D40DC4">
        <w:rPr>
          <w:rFonts w:cs="Arial"/>
        </w:rPr>
        <w:t>B: bevétel</w:t>
      </w:r>
    </w:p>
    <w:p w:rsidR="007C2AEC" w:rsidRPr="00D40DC4" w:rsidRDefault="007C2AEC" w:rsidP="007C2AEC">
      <w:pPr>
        <w:spacing w:after="0"/>
        <w:ind w:left="2268"/>
        <w:rPr>
          <w:rFonts w:cs="Arial"/>
        </w:rPr>
      </w:pPr>
      <w:r w:rsidRPr="00D40DC4">
        <w:rPr>
          <w:rFonts w:cs="Arial"/>
        </w:rPr>
        <w:t>K: működési (üzemeltetési, karbantartási és pótlási) költség</w:t>
      </w:r>
    </w:p>
    <w:p w:rsidR="007C2AEC" w:rsidRPr="00D40DC4" w:rsidRDefault="007C2AEC" w:rsidP="007C2AEC">
      <w:pPr>
        <w:ind w:left="2268"/>
        <w:rPr>
          <w:rFonts w:cs="Arial"/>
        </w:rPr>
      </w:pPr>
      <w:r w:rsidRPr="00D40DC4">
        <w:rPr>
          <w:rFonts w:cs="Arial"/>
        </w:rPr>
        <w:t>r: diszkontráta</w:t>
      </w:r>
    </w:p>
    <w:p w:rsidR="007C2AEC" w:rsidRPr="00D40DC4" w:rsidRDefault="007C2AEC" w:rsidP="007C2AEC">
      <w:pPr>
        <w:rPr>
          <w:rFonts w:cs="Arial"/>
        </w:rPr>
      </w:pPr>
      <w:r w:rsidRPr="00D40DC4">
        <w:rPr>
          <w:rFonts w:cs="Arial"/>
        </w:rPr>
        <w:t>A két módszer egymást kölcsönösen kizárja. Fontos megjegyezni, hogy jelentős torzítás léphet fel a maradványérték becslésében, ha az utolsó vizsgált évben pl. pótlás vagy más, jelentős egyösszegű kiadás (vagy bevétel) történik. Ezek hatását a becslés során korrigálni kell.</w:t>
      </w:r>
    </w:p>
    <w:p w:rsidR="007C2AEC" w:rsidRPr="00D40DC4" w:rsidRDefault="007C2AEC" w:rsidP="007C2AEC">
      <w:pPr>
        <w:rPr>
          <w:rFonts w:cs="Arial"/>
        </w:rPr>
      </w:pPr>
      <w:r w:rsidRPr="00D40DC4">
        <w:rPr>
          <w:rFonts w:cs="Arial"/>
        </w:rPr>
        <w:t>A főszabálytól megfelelő indoklás mellett el lehet térni. Az EU Útmutató alapján ilyen esetnek tekinthetők a hosszú élettartamú infrastrukturális projektek, ahol a torzítások elkerülése érdekében a maradványértéket javasolt a beruházási összeg hátralevő élettartammal arányos részeként becsülni.</w:t>
      </w:r>
    </w:p>
    <w:p w:rsidR="007C2AEC" w:rsidRPr="00D40DC4" w:rsidRDefault="007C2AEC" w:rsidP="007C2AEC">
      <w:pPr>
        <w:rPr>
          <w:rFonts w:cs="Arial"/>
        </w:rPr>
      </w:pPr>
      <w:r w:rsidRPr="00D40DC4">
        <w:rPr>
          <w:rFonts w:cs="Arial"/>
        </w:rPr>
        <w:t>Az elemzés során világosan és egyértelműen rögzíteni szükséges a számítások során alkalmazott módszertant és feltételezéseket.</w:t>
      </w:r>
    </w:p>
    <w:p w:rsidR="007C2AEC" w:rsidRPr="00D40DC4" w:rsidRDefault="007C2AEC" w:rsidP="007C2AEC">
      <w:pPr>
        <w:rPr>
          <w:rFonts w:cs="Arial"/>
        </w:rPr>
      </w:pPr>
      <w:r w:rsidRPr="00D40DC4">
        <w:rPr>
          <w:rFonts w:cs="Arial"/>
        </w:rPr>
        <w:lastRenderedPageBreak/>
        <w:t>Szintén elfogadható alternatív megoldás lehet az értékelési időszak végén várható piaci érték alkalmazása, amennyiben az eszközök az időszak végén értékesítésre kerülnek.</w:t>
      </w:r>
    </w:p>
    <w:p w:rsidR="007C2AEC" w:rsidRPr="00D40DC4" w:rsidRDefault="007C2AEC" w:rsidP="007C2AEC">
      <w:pPr>
        <w:rPr>
          <w:rFonts w:cs="Arial"/>
        </w:rPr>
      </w:pPr>
      <w:r w:rsidRPr="00D40DC4">
        <w:rPr>
          <w:rFonts w:cs="Arial"/>
        </w:rPr>
        <w:t>Figyelembe kell venni, hogy a maradványérték összefüggésben van a vizsgált élettartam alatti karbantartással, illetve pótlással.</w:t>
      </w:r>
    </w:p>
    <w:p w:rsidR="007C2AEC" w:rsidRPr="00D40DC4" w:rsidRDefault="007C2AEC" w:rsidP="007C2AEC">
      <w:pPr>
        <w:rPr>
          <w:rFonts w:cs="Arial"/>
        </w:rPr>
      </w:pPr>
      <w:r w:rsidRPr="00D40DC4">
        <w:rPr>
          <w:rFonts w:cs="Arial"/>
        </w:rPr>
        <w:t>A maradványértéket a pénzügyi fenntarthatóság számításnál csak akkor kell figyelembe venni, ha ténylegesen értékesítésre kerül az eszköz vagy épület, és így annak értéke pénzben is megjelenik.</w:t>
      </w:r>
    </w:p>
    <w:p w:rsidR="007C2AEC" w:rsidRPr="00D40DC4" w:rsidRDefault="007C2AEC" w:rsidP="007C2AEC">
      <w:pPr>
        <w:rPr>
          <w:rFonts w:cs="Arial"/>
        </w:rPr>
      </w:pPr>
      <w:r w:rsidRPr="00D40DC4">
        <w:rPr>
          <w:rFonts w:cs="Arial"/>
        </w:rPr>
        <w:t>A maradványértéket mindig figyelembe kell venni az FRR/C (a beruházási költség pénzügyi belső megtérülési rátája) és az FRR/K (a befekt</w:t>
      </w:r>
      <w:r w:rsidRPr="00D40DC4">
        <w:rPr>
          <w:rFonts w:cs="Arial"/>
          <w:szCs w:val="23"/>
        </w:rPr>
        <w:t xml:space="preserve">etetett tőke pénzügyi belső megtérülési rátája) </w:t>
      </w:r>
      <w:r w:rsidRPr="00D40DC4">
        <w:rPr>
          <w:rFonts w:cs="Arial"/>
        </w:rPr>
        <w:t>értékek kiszámításánál.</w:t>
      </w:r>
    </w:p>
    <w:p w:rsidR="007C2AEC" w:rsidRPr="00D40DC4" w:rsidRDefault="007C2AEC" w:rsidP="007C2AEC">
      <w:pPr>
        <w:rPr>
          <w:rFonts w:cs="Arial"/>
        </w:rPr>
      </w:pPr>
      <w:r w:rsidRPr="00D40DC4">
        <w:rPr>
          <w:rFonts w:cs="Arial"/>
        </w:rPr>
        <w:t xml:space="preserve">A maradványérték csak akkor képezi diszkontált nettó bevételnek (DNR) részét, ha a diszkontált nettó működési bevétel (DNOR) pozitív (lásd részletesebben a </w:t>
      </w:r>
      <w:r w:rsidRPr="00D40DC4">
        <w:rPr>
          <w:rFonts w:cs="Arial"/>
        </w:rPr>
        <w:fldChar w:fldCharType="begin"/>
      </w:r>
      <w:r w:rsidRPr="00D40DC4">
        <w:rPr>
          <w:rFonts w:cs="Arial"/>
        </w:rPr>
        <w:instrText xml:space="preserve"> REF _Ref428774716 \r \h </w:instrText>
      </w:r>
      <w:r w:rsidR="00D40DC4">
        <w:rPr>
          <w:rFonts w:cs="Arial"/>
        </w:rPr>
        <w:instrText xml:space="preserve"> \* MERGEFORMAT </w:instrText>
      </w:r>
      <w:r w:rsidRPr="00D40DC4">
        <w:rPr>
          <w:rFonts w:cs="Arial"/>
        </w:rPr>
      </w:r>
      <w:r w:rsidRPr="00D40DC4">
        <w:rPr>
          <w:rFonts w:cs="Arial"/>
        </w:rPr>
        <w:fldChar w:fldCharType="separate"/>
      </w:r>
      <w:r w:rsidR="007B4938" w:rsidRPr="00D40DC4">
        <w:rPr>
          <w:rFonts w:cs="Arial"/>
        </w:rPr>
        <w:t>4.5.2</w:t>
      </w:r>
      <w:r w:rsidRPr="00D40DC4">
        <w:rPr>
          <w:rFonts w:cs="Arial"/>
        </w:rPr>
        <w:fldChar w:fldCharType="end"/>
      </w:r>
      <w:r w:rsidRPr="00D40DC4">
        <w:rPr>
          <w:rFonts w:cs="Arial"/>
        </w:rPr>
        <w:t>. fejezetben, támogatási összeg meghatározásánál ).</w:t>
      </w:r>
    </w:p>
    <w:p w:rsidR="007C2AEC" w:rsidRPr="00D40DC4" w:rsidRDefault="007C2AEC" w:rsidP="005A76C2">
      <w:pPr>
        <w:pStyle w:val="Cmsor4"/>
      </w:pPr>
      <w:r w:rsidRPr="00D40DC4">
        <w:t>A maradványérték számítása</w:t>
      </w:r>
    </w:p>
    <w:p w:rsidR="007C2AEC" w:rsidRPr="00D40DC4" w:rsidRDefault="007C2AEC" w:rsidP="007C2AEC">
      <w:pPr>
        <w:pStyle w:val="Cmsor5"/>
      </w:pPr>
      <w:r w:rsidRPr="00D40DC4">
        <w:t>Hátralevő hasznos élettartam alatt termelődő nettó cash-flow módszere</w:t>
      </w:r>
    </w:p>
    <w:p w:rsidR="007C2AEC" w:rsidRPr="00D40DC4" w:rsidRDefault="002C4DE0" w:rsidP="002314F2">
      <w:pPr>
        <w:pStyle w:val="Tblzat"/>
      </w:pPr>
      <w:r>
        <w:fldChar w:fldCharType="begin"/>
      </w:r>
      <w:r>
        <w:instrText xml:space="preserve"> SEQ táblázat \* ARABIC </w:instrText>
      </w:r>
      <w:r>
        <w:fldChar w:fldCharType="separate"/>
      </w:r>
      <w:bookmarkStart w:id="505" w:name="_Toc436923946"/>
      <w:r w:rsidR="007B4938" w:rsidRPr="00D40DC4">
        <w:rPr>
          <w:noProof/>
        </w:rPr>
        <w:t>13</w:t>
      </w:r>
      <w:r>
        <w:rPr>
          <w:noProof/>
        </w:rPr>
        <w:fldChar w:fldCharType="end"/>
      </w:r>
      <w:r w:rsidR="007C2AEC" w:rsidRPr="00D40DC4">
        <w:t>. táblázat: Maradványérték számítása a hátralevő hasznos élettartam alatt termelődő nettó cash-flow alapján (Ft, különbözet)</w:t>
      </w:r>
      <w:bookmarkEnd w:id="5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8"/>
        <w:gridCol w:w="1264"/>
        <w:gridCol w:w="1135"/>
        <w:gridCol w:w="1135"/>
        <w:gridCol w:w="1137"/>
        <w:gridCol w:w="228"/>
        <w:gridCol w:w="1155"/>
      </w:tblGrid>
      <w:tr w:rsidR="007C2AEC" w:rsidRPr="00D40DC4" w:rsidTr="007C2AEC">
        <w:trPr>
          <w:trHeight w:val="255"/>
          <w:tblHeader/>
        </w:trPr>
        <w:tc>
          <w:tcPr>
            <w:tcW w:w="1714"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686"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FPV</w:t>
            </w:r>
          </w:p>
        </w:tc>
        <w:tc>
          <w:tcPr>
            <w:tcW w:w="616" w:type="pct"/>
            <w:shd w:val="clear" w:color="auto" w:fill="99CCFF"/>
          </w:tcPr>
          <w:p w:rsidR="007C2AEC" w:rsidRPr="00D40DC4" w:rsidRDefault="007C2AEC" w:rsidP="007C2AEC">
            <w:pPr>
              <w:spacing w:after="0"/>
              <w:jc w:val="center"/>
              <w:rPr>
                <w:rFonts w:cs="Arial"/>
                <w:b/>
                <w:szCs w:val="20"/>
              </w:rPr>
            </w:pPr>
            <w:r w:rsidRPr="00D40DC4">
              <w:rPr>
                <w:rFonts w:cs="Arial"/>
                <w:b/>
                <w:szCs w:val="20"/>
              </w:rPr>
              <w:t>FPV az n. évben</w:t>
            </w:r>
          </w:p>
        </w:tc>
        <w:tc>
          <w:tcPr>
            <w:tcW w:w="616" w:type="pct"/>
            <w:shd w:val="clear" w:color="auto" w:fill="99CCFF"/>
          </w:tcPr>
          <w:p w:rsidR="007C2AEC" w:rsidRPr="00D40DC4" w:rsidRDefault="007C2AEC" w:rsidP="007C2AEC">
            <w:pPr>
              <w:spacing w:after="0"/>
              <w:jc w:val="center"/>
              <w:rPr>
                <w:rFonts w:cs="Arial"/>
                <w:b/>
                <w:szCs w:val="20"/>
              </w:rPr>
            </w:pPr>
            <w:r w:rsidRPr="00D40DC4">
              <w:rPr>
                <w:rFonts w:cs="Arial"/>
                <w:b/>
                <w:szCs w:val="20"/>
              </w:rPr>
              <w:t>n+1. év</w:t>
            </w:r>
          </w:p>
        </w:tc>
        <w:tc>
          <w:tcPr>
            <w:tcW w:w="617" w:type="pct"/>
            <w:shd w:val="clear" w:color="auto" w:fill="99CCFF"/>
          </w:tcPr>
          <w:p w:rsidR="007C2AEC" w:rsidRPr="00D40DC4" w:rsidRDefault="007C2AEC" w:rsidP="007C2AEC">
            <w:pPr>
              <w:spacing w:after="0"/>
              <w:jc w:val="center"/>
              <w:rPr>
                <w:rFonts w:cs="Arial"/>
                <w:b/>
                <w:szCs w:val="20"/>
              </w:rPr>
            </w:pPr>
            <w:r w:rsidRPr="00D40DC4">
              <w:rPr>
                <w:rFonts w:cs="Arial"/>
                <w:b/>
                <w:szCs w:val="20"/>
              </w:rPr>
              <w:t>n+2. év</w:t>
            </w:r>
          </w:p>
        </w:tc>
        <w:tc>
          <w:tcPr>
            <w:tcW w:w="124"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w:t>
            </w:r>
          </w:p>
        </w:tc>
        <w:tc>
          <w:tcPr>
            <w:tcW w:w="628" w:type="pct"/>
            <w:shd w:val="clear" w:color="auto" w:fill="99CCFF"/>
            <w:noWrap/>
            <w:vAlign w:val="bottom"/>
          </w:tcPr>
          <w:p w:rsidR="007C2AEC" w:rsidRPr="00D40DC4" w:rsidRDefault="007C2AEC" w:rsidP="007C2AEC">
            <w:pPr>
              <w:spacing w:after="0"/>
              <w:jc w:val="center"/>
              <w:rPr>
                <w:rFonts w:cs="Arial"/>
                <w:b/>
                <w:szCs w:val="20"/>
              </w:rPr>
            </w:pPr>
            <w:r w:rsidRPr="00D40DC4">
              <w:rPr>
                <w:rFonts w:cs="Arial"/>
                <w:b/>
                <w:szCs w:val="20"/>
              </w:rPr>
              <w:t>n+k. év</w:t>
            </w: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Üzemeltetési költség</w:t>
            </w:r>
          </w:p>
        </w:tc>
        <w:tc>
          <w:tcPr>
            <w:tcW w:w="686" w:type="pct"/>
            <w:shd w:val="clear" w:color="auto" w:fill="auto"/>
            <w:noWrap/>
            <w:vAlign w:val="bottom"/>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7" w:type="pct"/>
          </w:tcPr>
          <w:p w:rsidR="007C2AEC" w:rsidRPr="00D40DC4" w:rsidRDefault="007C2AEC" w:rsidP="007C2AEC">
            <w:pPr>
              <w:spacing w:after="0"/>
              <w:rPr>
                <w:rFonts w:cs="Arial"/>
                <w:szCs w:val="20"/>
              </w:rPr>
            </w:pPr>
          </w:p>
        </w:tc>
        <w:tc>
          <w:tcPr>
            <w:tcW w:w="124" w:type="pct"/>
            <w:shd w:val="clear" w:color="auto" w:fill="auto"/>
            <w:noWrap/>
            <w:vAlign w:val="bottom"/>
          </w:tcPr>
          <w:p w:rsidR="007C2AEC" w:rsidRPr="00D40DC4" w:rsidRDefault="007C2AEC" w:rsidP="007C2AEC">
            <w:pPr>
              <w:spacing w:after="0"/>
              <w:rPr>
                <w:rFonts w:cs="Arial"/>
                <w:szCs w:val="20"/>
              </w:rPr>
            </w:pPr>
          </w:p>
        </w:tc>
        <w:tc>
          <w:tcPr>
            <w:tcW w:w="628"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Karbantartási költség</w:t>
            </w:r>
          </w:p>
        </w:tc>
        <w:tc>
          <w:tcPr>
            <w:tcW w:w="686" w:type="pct"/>
            <w:shd w:val="clear" w:color="auto" w:fill="auto"/>
            <w:noWrap/>
            <w:vAlign w:val="bottom"/>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7" w:type="pct"/>
          </w:tcPr>
          <w:p w:rsidR="007C2AEC" w:rsidRPr="00D40DC4" w:rsidRDefault="007C2AEC" w:rsidP="007C2AEC">
            <w:pPr>
              <w:spacing w:after="0"/>
              <w:rPr>
                <w:rFonts w:cs="Arial"/>
                <w:szCs w:val="20"/>
              </w:rPr>
            </w:pPr>
          </w:p>
        </w:tc>
        <w:tc>
          <w:tcPr>
            <w:tcW w:w="124" w:type="pct"/>
            <w:shd w:val="clear" w:color="auto" w:fill="auto"/>
            <w:noWrap/>
            <w:vAlign w:val="bottom"/>
          </w:tcPr>
          <w:p w:rsidR="007C2AEC" w:rsidRPr="00D40DC4" w:rsidRDefault="007C2AEC" w:rsidP="007C2AEC">
            <w:pPr>
              <w:spacing w:after="0"/>
              <w:rPr>
                <w:rFonts w:cs="Arial"/>
                <w:szCs w:val="20"/>
              </w:rPr>
            </w:pPr>
          </w:p>
        </w:tc>
        <w:tc>
          <w:tcPr>
            <w:tcW w:w="628"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Pótlási költség</w:t>
            </w:r>
          </w:p>
        </w:tc>
        <w:tc>
          <w:tcPr>
            <w:tcW w:w="686" w:type="pct"/>
            <w:shd w:val="clear" w:color="auto" w:fill="auto"/>
            <w:noWrap/>
            <w:vAlign w:val="bottom"/>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7" w:type="pct"/>
          </w:tcPr>
          <w:p w:rsidR="007C2AEC" w:rsidRPr="00D40DC4" w:rsidRDefault="007C2AEC" w:rsidP="007C2AEC">
            <w:pPr>
              <w:spacing w:after="0"/>
              <w:rPr>
                <w:rFonts w:cs="Arial"/>
                <w:szCs w:val="20"/>
              </w:rPr>
            </w:pPr>
          </w:p>
        </w:tc>
        <w:tc>
          <w:tcPr>
            <w:tcW w:w="124" w:type="pct"/>
            <w:shd w:val="clear" w:color="auto" w:fill="auto"/>
            <w:noWrap/>
            <w:vAlign w:val="bottom"/>
          </w:tcPr>
          <w:p w:rsidR="007C2AEC" w:rsidRPr="00D40DC4" w:rsidRDefault="007C2AEC" w:rsidP="007C2AEC">
            <w:pPr>
              <w:spacing w:after="0"/>
              <w:rPr>
                <w:rFonts w:cs="Arial"/>
                <w:szCs w:val="20"/>
              </w:rPr>
            </w:pPr>
          </w:p>
        </w:tc>
        <w:tc>
          <w:tcPr>
            <w:tcW w:w="628"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Összes működési költség (1+2+3)</w:t>
            </w:r>
          </w:p>
        </w:tc>
        <w:tc>
          <w:tcPr>
            <w:tcW w:w="686" w:type="pct"/>
            <w:shd w:val="clear" w:color="auto" w:fill="auto"/>
            <w:noWrap/>
            <w:vAlign w:val="bottom"/>
          </w:tcPr>
          <w:p w:rsidR="007C2AEC" w:rsidRPr="00D40DC4" w:rsidRDefault="007C2AEC" w:rsidP="007C2AEC">
            <w:pPr>
              <w:spacing w:after="0"/>
              <w:rPr>
                <w:rFonts w:cs="Arial"/>
                <w:b/>
                <w:szCs w:val="20"/>
              </w:rPr>
            </w:pPr>
          </w:p>
        </w:tc>
        <w:tc>
          <w:tcPr>
            <w:tcW w:w="616" w:type="pct"/>
          </w:tcPr>
          <w:p w:rsidR="007C2AEC" w:rsidRPr="00D40DC4" w:rsidRDefault="007C2AEC" w:rsidP="007C2AEC">
            <w:pPr>
              <w:spacing w:after="0"/>
              <w:rPr>
                <w:rFonts w:cs="Arial"/>
                <w:b/>
                <w:szCs w:val="20"/>
              </w:rPr>
            </w:pPr>
          </w:p>
        </w:tc>
        <w:tc>
          <w:tcPr>
            <w:tcW w:w="616" w:type="pct"/>
          </w:tcPr>
          <w:p w:rsidR="007C2AEC" w:rsidRPr="00D40DC4" w:rsidRDefault="007C2AEC" w:rsidP="007C2AEC">
            <w:pPr>
              <w:spacing w:after="0"/>
              <w:rPr>
                <w:rFonts w:cs="Arial"/>
                <w:b/>
                <w:szCs w:val="20"/>
              </w:rPr>
            </w:pPr>
          </w:p>
        </w:tc>
        <w:tc>
          <w:tcPr>
            <w:tcW w:w="617" w:type="pct"/>
          </w:tcPr>
          <w:p w:rsidR="007C2AEC" w:rsidRPr="00D40DC4" w:rsidRDefault="007C2AEC" w:rsidP="007C2AEC">
            <w:pPr>
              <w:spacing w:after="0"/>
              <w:rPr>
                <w:rFonts w:cs="Arial"/>
                <w:b/>
                <w:szCs w:val="20"/>
              </w:rPr>
            </w:pPr>
          </w:p>
        </w:tc>
        <w:tc>
          <w:tcPr>
            <w:tcW w:w="124" w:type="pct"/>
            <w:shd w:val="clear" w:color="auto" w:fill="auto"/>
            <w:noWrap/>
            <w:vAlign w:val="bottom"/>
          </w:tcPr>
          <w:p w:rsidR="007C2AEC" w:rsidRPr="00D40DC4" w:rsidRDefault="007C2AEC" w:rsidP="007C2AEC">
            <w:pPr>
              <w:spacing w:after="0"/>
              <w:rPr>
                <w:rFonts w:cs="Arial"/>
                <w:b/>
                <w:szCs w:val="20"/>
              </w:rPr>
            </w:pPr>
          </w:p>
        </w:tc>
        <w:tc>
          <w:tcPr>
            <w:tcW w:w="628" w:type="pct"/>
            <w:shd w:val="clear" w:color="auto" w:fill="auto"/>
            <w:noWrap/>
            <w:vAlign w:val="bottom"/>
          </w:tcPr>
          <w:p w:rsidR="007C2AEC" w:rsidRPr="00D40DC4" w:rsidRDefault="007C2AEC" w:rsidP="007C2AEC">
            <w:pPr>
              <w:spacing w:after="0"/>
              <w:rPr>
                <w:rFonts w:cs="Arial"/>
                <w:b/>
                <w:szCs w:val="20"/>
              </w:rPr>
            </w:pP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Pénzügyi bevételek</w:t>
            </w:r>
          </w:p>
        </w:tc>
        <w:tc>
          <w:tcPr>
            <w:tcW w:w="686" w:type="pct"/>
            <w:shd w:val="clear" w:color="auto" w:fill="auto"/>
            <w:noWrap/>
            <w:vAlign w:val="bottom"/>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6" w:type="pct"/>
          </w:tcPr>
          <w:p w:rsidR="007C2AEC" w:rsidRPr="00D40DC4" w:rsidRDefault="007C2AEC" w:rsidP="007C2AEC">
            <w:pPr>
              <w:spacing w:after="0"/>
              <w:rPr>
                <w:rFonts w:cs="Arial"/>
                <w:szCs w:val="20"/>
              </w:rPr>
            </w:pPr>
          </w:p>
        </w:tc>
        <w:tc>
          <w:tcPr>
            <w:tcW w:w="617" w:type="pct"/>
          </w:tcPr>
          <w:p w:rsidR="007C2AEC" w:rsidRPr="00D40DC4" w:rsidRDefault="007C2AEC" w:rsidP="007C2AEC">
            <w:pPr>
              <w:spacing w:after="0"/>
              <w:rPr>
                <w:rFonts w:cs="Arial"/>
                <w:szCs w:val="20"/>
              </w:rPr>
            </w:pPr>
          </w:p>
        </w:tc>
        <w:tc>
          <w:tcPr>
            <w:tcW w:w="124" w:type="pct"/>
            <w:shd w:val="clear" w:color="auto" w:fill="auto"/>
            <w:noWrap/>
            <w:vAlign w:val="bottom"/>
          </w:tcPr>
          <w:p w:rsidR="007C2AEC" w:rsidRPr="00D40DC4" w:rsidRDefault="007C2AEC" w:rsidP="007C2AEC">
            <w:pPr>
              <w:spacing w:after="0"/>
              <w:rPr>
                <w:rFonts w:cs="Arial"/>
                <w:szCs w:val="20"/>
              </w:rPr>
            </w:pPr>
          </w:p>
        </w:tc>
        <w:tc>
          <w:tcPr>
            <w:tcW w:w="628"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1714" w:type="pct"/>
            <w:shd w:val="clear" w:color="auto" w:fill="auto"/>
            <w:noWrap/>
            <w:vAlign w:val="bottom"/>
          </w:tcPr>
          <w:p w:rsidR="007C2AEC" w:rsidRPr="00D40DC4" w:rsidRDefault="007C2AEC" w:rsidP="006F2748">
            <w:pPr>
              <w:numPr>
                <w:ilvl w:val="0"/>
                <w:numId w:val="58"/>
              </w:numPr>
            </w:pPr>
            <w:r w:rsidRPr="00D40DC4">
              <w:t>Nettó cash-flow (5-4)</w:t>
            </w:r>
          </w:p>
        </w:tc>
        <w:tc>
          <w:tcPr>
            <w:tcW w:w="686" w:type="pct"/>
            <w:shd w:val="clear" w:color="auto" w:fill="auto"/>
            <w:noWrap/>
            <w:vAlign w:val="bottom"/>
          </w:tcPr>
          <w:p w:rsidR="007C2AEC" w:rsidRPr="00D40DC4" w:rsidRDefault="007C2AEC" w:rsidP="007C2AEC">
            <w:pPr>
              <w:spacing w:after="0"/>
              <w:rPr>
                <w:rFonts w:cs="Arial"/>
                <w:b/>
                <w:szCs w:val="20"/>
              </w:rPr>
            </w:pPr>
          </w:p>
        </w:tc>
        <w:tc>
          <w:tcPr>
            <w:tcW w:w="616" w:type="pct"/>
          </w:tcPr>
          <w:p w:rsidR="007C2AEC" w:rsidRPr="00D40DC4" w:rsidRDefault="007C2AEC" w:rsidP="007C2AEC">
            <w:pPr>
              <w:spacing w:after="0"/>
              <w:rPr>
                <w:rFonts w:cs="Arial"/>
                <w:b/>
                <w:szCs w:val="20"/>
              </w:rPr>
            </w:pPr>
          </w:p>
        </w:tc>
        <w:tc>
          <w:tcPr>
            <w:tcW w:w="616" w:type="pct"/>
          </w:tcPr>
          <w:p w:rsidR="007C2AEC" w:rsidRPr="00D40DC4" w:rsidRDefault="007C2AEC" w:rsidP="007C2AEC">
            <w:pPr>
              <w:spacing w:after="0"/>
              <w:rPr>
                <w:rFonts w:cs="Arial"/>
                <w:b/>
                <w:szCs w:val="20"/>
              </w:rPr>
            </w:pPr>
          </w:p>
        </w:tc>
        <w:tc>
          <w:tcPr>
            <w:tcW w:w="617" w:type="pct"/>
          </w:tcPr>
          <w:p w:rsidR="007C2AEC" w:rsidRPr="00D40DC4" w:rsidRDefault="007C2AEC" w:rsidP="007C2AEC">
            <w:pPr>
              <w:spacing w:after="0"/>
              <w:rPr>
                <w:rFonts w:cs="Arial"/>
                <w:b/>
                <w:szCs w:val="20"/>
              </w:rPr>
            </w:pPr>
          </w:p>
        </w:tc>
        <w:tc>
          <w:tcPr>
            <w:tcW w:w="124" w:type="pct"/>
            <w:shd w:val="clear" w:color="auto" w:fill="auto"/>
            <w:noWrap/>
            <w:vAlign w:val="bottom"/>
          </w:tcPr>
          <w:p w:rsidR="007C2AEC" w:rsidRPr="00D40DC4" w:rsidRDefault="007C2AEC" w:rsidP="007C2AEC">
            <w:pPr>
              <w:spacing w:after="0"/>
              <w:rPr>
                <w:rFonts w:cs="Arial"/>
                <w:b/>
                <w:szCs w:val="20"/>
              </w:rPr>
            </w:pPr>
          </w:p>
        </w:tc>
        <w:tc>
          <w:tcPr>
            <w:tcW w:w="628" w:type="pct"/>
            <w:shd w:val="clear" w:color="auto" w:fill="auto"/>
            <w:noWrap/>
            <w:vAlign w:val="bottom"/>
          </w:tcPr>
          <w:p w:rsidR="007C2AEC" w:rsidRPr="00D40DC4" w:rsidRDefault="007C2AEC" w:rsidP="007C2AEC">
            <w:pPr>
              <w:spacing w:after="0"/>
              <w:rPr>
                <w:rFonts w:cs="Arial"/>
                <w:b/>
                <w:szCs w:val="20"/>
              </w:rPr>
            </w:pPr>
          </w:p>
        </w:tc>
      </w:tr>
    </w:tbl>
    <w:p w:rsidR="007C2AEC" w:rsidRPr="00D40DC4" w:rsidRDefault="007C2AEC" w:rsidP="007C2AEC">
      <w:pPr>
        <w:rPr>
          <w:rFonts w:cs="Arial"/>
        </w:rPr>
      </w:pPr>
    </w:p>
    <w:p w:rsidR="007C2AEC" w:rsidRPr="00D40DC4" w:rsidRDefault="007C2AEC" w:rsidP="007C2AEC">
      <w:pPr>
        <w:pStyle w:val="Cmsor5"/>
      </w:pPr>
      <w:r w:rsidRPr="00D40DC4">
        <w:t>A beruházási költség hátralevő hasznos élettartam arányában történő becslés módszere</w:t>
      </w:r>
    </w:p>
    <w:p w:rsidR="007C2AEC" w:rsidRPr="00D40DC4" w:rsidRDefault="002C4DE0" w:rsidP="002314F2">
      <w:pPr>
        <w:pStyle w:val="Tblzat"/>
      </w:pPr>
      <w:r>
        <w:fldChar w:fldCharType="begin"/>
      </w:r>
      <w:r>
        <w:instrText xml:space="preserve"> SEQ táblázat \* ARABIC </w:instrText>
      </w:r>
      <w:r>
        <w:fldChar w:fldCharType="separate"/>
      </w:r>
      <w:bookmarkStart w:id="506" w:name="_Toc436923947"/>
      <w:r w:rsidR="007B4938" w:rsidRPr="00D40DC4">
        <w:rPr>
          <w:noProof/>
        </w:rPr>
        <w:t>14</w:t>
      </w:r>
      <w:r>
        <w:rPr>
          <w:noProof/>
        </w:rPr>
        <w:fldChar w:fldCharType="end"/>
      </w:r>
      <w:r w:rsidR="007C2AEC" w:rsidRPr="00D40DC4">
        <w:t>. táblázat: Maradványérték számítása a hasznos élettartam alapján (Ft, különbözet)</w:t>
      </w:r>
      <w:bookmarkEnd w:id="5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0"/>
        <w:gridCol w:w="3746"/>
        <w:gridCol w:w="3886"/>
      </w:tblGrid>
      <w:tr w:rsidR="007C2AEC" w:rsidRPr="00D40DC4" w:rsidTr="007C2AEC">
        <w:trPr>
          <w:trHeight w:val="255"/>
          <w:tblHeader/>
        </w:trPr>
        <w:tc>
          <w:tcPr>
            <w:tcW w:w="858"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2033" w:type="pct"/>
            <w:shd w:val="clear" w:color="auto" w:fill="99CCFF"/>
          </w:tcPr>
          <w:p w:rsidR="007C2AEC" w:rsidRPr="00D40DC4" w:rsidRDefault="007C2AEC" w:rsidP="007C2AEC">
            <w:pPr>
              <w:spacing w:after="0"/>
              <w:jc w:val="center"/>
              <w:rPr>
                <w:rFonts w:cs="Arial"/>
                <w:b/>
                <w:szCs w:val="20"/>
              </w:rPr>
            </w:pPr>
            <w:r w:rsidRPr="00D40DC4">
              <w:rPr>
                <w:rFonts w:cs="Arial"/>
                <w:b/>
                <w:szCs w:val="20"/>
              </w:rPr>
              <w:t>FPV</w:t>
            </w:r>
          </w:p>
        </w:tc>
        <w:tc>
          <w:tcPr>
            <w:tcW w:w="2109" w:type="pct"/>
            <w:shd w:val="clear" w:color="auto" w:fill="99CCFF"/>
            <w:vAlign w:val="center"/>
          </w:tcPr>
          <w:p w:rsidR="007C2AEC" w:rsidRPr="00D40DC4" w:rsidRDefault="007C2AEC" w:rsidP="007C2AEC">
            <w:pPr>
              <w:spacing w:after="0"/>
              <w:jc w:val="center"/>
              <w:rPr>
                <w:rFonts w:cs="Arial"/>
                <w:b/>
                <w:szCs w:val="20"/>
              </w:rPr>
            </w:pPr>
            <w:r w:rsidRPr="00D40DC4">
              <w:rPr>
                <w:rFonts w:cs="Arial"/>
                <w:b/>
                <w:szCs w:val="20"/>
              </w:rPr>
              <w:t xml:space="preserve">Maradványérték </w:t>
            </w:r>
          </w:p>
        </w:tc>
      </w:tr>
      <w:tr w:rsidR="007C2AEC" w:rsidRPr="00D40DC4" w:rsidTr="007C2AEC">
        <w:trPr>
          <w:trHeight w:val="255"/>
        </w:trPr>
        <w:tc>
          <w:tcPr>
            <w:tcW w:w="858" w:type="pct"/>
            <w:shd w:val="clear" w:color="auto" w:fill="auto"/>
            <w:noWrap/>
          </w:tcPr>
          <w:p w:rsidR="007C2AEC" w:rsidRPr="00D40DC4" w:rsidRDefault="007C2AEC" w:rsidP="006F2748">
            <w:pPr>
              <w:numPr>
                <w:ilvl w:val="0"/>
                <w:numId w:val="59"/>
              </w:numPr>
              <w:rPr>
                <w:szCs w:val="20"/>
              </w:rPr>
            </w:pPr>
            <w:r w:rsidRPr="00D40DC4">
              <w:t>tétel 1</w:t>
            </w:r>
          </w:p>
        </w:tc>
        <w:tc>
          <w:tcPr>
            <w:tcW w:w="2033" w:type="pct"/>
          </w:tcPr>
          <w:p w:rsidR="007C2AEC" w:rsidRPr="00D40DC4" w:rsidRDefault="007C2AEC" w:rsidP="007C2AEC">
            <w:pPr>
              <w:spacing w:after="0"/>
              <w:rPr>
                <w:rFonts w:cs="Arial"/>
                <w:szCs w:val="20"/>
              </w:rPr>
            </w:pPr>
          </w:p>
        </w:tc>
        <w:tc>
          <w:tcPr>
            <w:tcW w:w="2109" w:type="pct"/>
          </w:tcPr>
          <w:p w:rsidR="007C2AEC" w:rsidRPr="00D40DC4" w:rsidRDefault="007C2AEC" w:rsidP="007C2AEC">
            <w:pPr>
              <w:spacing w:after="0"/>
              <w:rPr>
                <w:rFonts w:cs="Arial"/>
                <w:szCs w:val="20"/>
              </w:rPr>
            </w:pPr>
          </w:p>
        </w:tc>
      </w:tr>
      <w:tr w:rsidR="007C2AEC" w:rsidRPr="00D40DC4" w:rsidTr="007C2AEC">
        <w:trPr>
          <w:trHeight w:val="255"/>
        </w:trPr>
        <w:tc>
          <w:tcPr>
            <w:tcW w:w="858" w:type="pct"/>
            <w:shd w:val="clear" w:color="auto" w:fill="auto"/>
            <w:noWrap/>
          </w:tcPr>
          <w:p w:rsidR="007C2AEC" w:rsidRPr="00D40DC4" w:rsidRDefault="007C2AEC" w:rsidP="006F2748">
            <w:pPr>
              <w:numPr>
                <w:ilvl w:val="0"/>
                <w:numId w:val="59"/>
              </w:numPr>
              <w:rPr>
                <w:szCs w:val="20"/>
              </w:rPr>
            </w:pPr>
            <w:r w:rsidRPr="00D40DC4">
              <w:t>tétel 2</w:t>
            </w:r>
          </w:p>
        </w:tc>
        <w:tc>
          <w:tcPr>
            <w:tcW w:w="2033" w:type="pct"/>
          </w:tcPr>
          <w:p w:rsidR="007C2AEC" w:rsidRPr="00D40DC4" w:rsidRDefault="007C2AEC" w:rsidP="007C2AEC">
            <w:pPr>
              <w:spacing w:after="0"/>
              <w:rPr>
                <w:rFonts w:cs="Arial"/>
                <w:szCs w:val="20"/>
              </w:rPr>
            </w:pPr>
          </w:p>
        </w:tc>
        <w:tc>
          <w:tcPr>
            <w:tcW w:w="2109" w:type="pct"/>
          </w:tcPr>
          <w:p w:rsidR="007C2AEC" w:rsidRPr="00D40DC4" w:rsidRDefault="007C2AEC" w:rsidP="007C2AEC">
            <w:pPr>
              <w:spacing w:after="0"/>
              <w:rPr>
                <w:rFonts w:cs="Arial"/>
                <w:szCs w:val="20"/>
              </w:rPr>
            </w:pPr>
          </w:p>
        </w:tc>
      </w:tr>
      <w:tr w:rsidR="007C2AEC" w:rsidRPr="00D40DC4" w:rsidTr="007C2AEC">
        <w:trPr>
          <w:trHeight w:val="255"/>
        </w:trPr>
        <w:tc>
          <w:tcPr>
            <w:tcW w:w="858" w:type="pct"/>
            <w:shd w:val="clear" w:color="auto" w:fill="auto"/>
            <w:noWrap/>
          </w:tcPr>
          <w:p w:rsidR="007C2AEC" w:rsidRPr="00D40DC4" w:rsidRDefault="007C2AEC" w:rsidP="006F2748">
            <w:pPr>
              <w:numPr>
                <w:ilvl w:val="0"/>
                <w:numId w:val="59"/>
              </w:numPr>
              <w:rPr>
                <w:szCs w:val="20"/>
              </w:rPr>
            </w:pPr>
            <w:r w:rsidRPr="00D40DC4">
              <w:t>tétel 3</w:t>
            </w:r>
          </w:p>
        </w:tc>
        <w:tc>
          <w:tcPr>
            <w:tcW w:w="2033" w:type="pct"/>
          </w:tcPr>
          <w:p w:rsidR="007C2AEC" w:rsidRPr="00D40DC4" w:rsidRDefault="007C2AEC" w:rsidP="007C2AEC">
            <w:pPr>
              <w:spacing w:after="0"/>
              <w:rPr>
                <w:rFonts w:cs="Arial"/>
                <w:szCs w:val="20"/>
              </w:rPr>
            </w:pPr>
          </w:p>
        </w:tc>
        <w:tc>
          <w:tcPr>
            <w:tcW w:w="2109" w:type="pct"/>
          </w:tcPr>
          <w:p w:rsidR="007C2AEC" w:rsidRPr="00D40DC4" w:rsidRDefault="007C2AEC" w:rsidP="007C2AEC">
            <w:pPr>
              <w:spacing w:after="0"/>
              <w:rPr>
                <w:rFonts w:cs="Arial"/>
                <w:szCs w:val="20"/>
              </w:rPr>
            </w:pPr>
          </w:p>
        </w:tc>
      </w:tr>
      <w:tr w:rsidR="007C2AEC" w:rsidRPr="00D40DC4" w:rsidTr="007C2AEC">
        <w:trPr>
          <w:trHeight w:val="255"/>
        </w:trPr>
        <w:tc>
          <w:tcPr>
            <w:tcW w:w="858" w:type="pct"/>
            <w:shd w:val="clear" w:color="auto" w:fill="auto"/>
            <w:noWrap/>
          </w:tcPr>
          <w:p w:rsidR="007C2AEC" w:rsidRPr="00D40DC4" w:rsidRDefault="007C2AEC" w:rsidP="006F2748">
            <w:pPr>
              <w:numPr>
                <w:ilvl w:val="0"/>
                <w:numId w:val="59"/>
              </w:numPr>
            </w:pPr>
            <w:r w:rsidRPr="00D40DC4">
              <w:t>Összesen</w:t>
            </w:r>
          </w:p>
        </w:tc>
        <w:tc>
          <w:tcPr>
            <w:tcW w:w="2033" w:type="pct"/>
          </w:tcPr>
          <w:p w:rsidR="007C2AEC" w:rsidRPr="00D40DC4" w:rsidRDefault="007C2AEC" w:rsidP="007C2AEC">
            <w:pPr>
              <w:spacing w:after="0"/>
              <w:rPr>
                <w:rFonts w:cs="Arial"/>
                <w:szCs w:val="20"/>
              </w:rPr>
            </w:pPr>
          </w:p>
        </w:tc>
        <w:tc>
          <w:tcPr>
            <w:tcW w:w="2109" w:type="pct"/>
          </w:tcPr>
          <w:p w:rsidR="007C2AEC" w:rsidRPr="00D40DC4" w:rsidRDefault="007C2AEC" w:rsidP="007C2AEC">
            <w:pPr>
              <w:spacing w:after="0"/>
              <w:rPr>
                <w:rFonts w:cs="Arial"/>
                <w:szCs w:val="20"/>
              </w:rPr>
            </w:pPr>
          </w:p>
        </w:tc>
      </w:tr>
    </w:tbl>
    <w:p w:rsidR="007C2AEC" w:rsidRPr="00D40DC4" w:rsidRDefault="007C2AEC" w:rsidP="007C2AEC">
      <w:pPr>
        <w:rPr>
          <w:rFonts w:cs="Arial"/>
        </w:rPr>
      </w:pPr>
    </w:p>
    <w:p w:rsidR="007C2AEC" w:rsidRPr="00D40DC4" w:rsidRDefault="007C2AEC" w:rsidP="007C2AEC">
      <w:pPr>
        <w:pStyle w:val="Cmsor5"/>
      </w:pPr>
      <w:r w:rsidRPr="00D40DC4">
        <w:t>A vizsgálati időszak végi értékesítés módszere</w:t>
      </w:r>
    </w:p>
    <w:p w:rsidR="007C2AEC" w:rsidRPr="00D40DC4" w:rsidRDefault="002C4DE0" w:rsidP="002314F2">
      <w:pPr>
        <w:pStyle w:val="Tblzat"/>
      </w:pPr>
      <w:r>
        <w:fldChar w:fldCharType="begin"/>
      </w:r>
      <w:r>
        <w:instrText xml:space="preserve"> SEQ táblázat \* ARABIC </w:instrText>
      </w:r>
      <w:r>
        <w:fldChar w:fldCharType="separate"/>
      </w:r>
      <w:bookmarkStart w:id="507" w:name="_Toc436923948"/>
      <w:r w:rsidR="007B4938" w:rsidRPr="00D40DC4">
        <w:rPr>
          <w:noProof/>
        </w:rPr>
        <w:t>15</w:t>
      </w:r>
      <w:r>
        <w:rPr>
          <w:noProof/>
        </w:rPr>
        <w:fldChar w:fldCharType="end"/>
      </w:r>
      <w:r w:rsidR="007C2AEC" w:rsidRPr="00D40DC4">
        <w:t>. táblázat: Maradványérték számítása az eszközök vizsgált időtartam végi értékesítése esetén (Ft, különbözet)</w:t>
      </w:r>
      <w:bookmarkEnd w:id="5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3816"/>
        <w:gridCol w:w="3814"/>
      </w:tblGrid>
      <w:tr w:rsidR="007C2AEC" w:rsidRPr="00D40DC4" w:rsidTr="007C2AEC">
        <w:trPr>
          <w:trHeight w:val="255"/>
          <w:tblHeader/>
        </w:trPr>
        <w:tc>
          <w:tcPr>
            <w:tcW w:w="859"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Megnevezés</w:t>
            </w:r>
          </w:p>
        </w:tc>
        <w:tc>
          <w:tcPr>
            <w:tcW w:w="2071" w:type="pct"/>
            <w:shd w:val="clear" w:color="auto" w:fill="99CCFF"/>
            <w:vAlign w:val="center"/>
          </w:tcPr>
          <w:p w:rsidR="007C2AEC" w:rsidRPr="00D40DC4" w:rsidRDefault="007C2AEC" w:rsidP="007C2AEC">
            <w:pPr>
              <w:spacing w:after="0"/>
              <w:jc w:val="center"/>
              <w:rPr>
                <w:rFonts w:cs="Arial"/>
                <w:b/>
                <w:szCs w:val="20"/>
              </w:rPr>
            </w:pPr>
            <w:r w:rsidRPr="00D40DC4">
              <w:rPr>
                <w:rFonts w:cs="Arial"/>
                <w:b/>
                <w:szCs w:val="20"/>
              </w:rPr>
              <w:t>FPV</w:t>
            </w:r>
          </w:p>
        </w:tc>
        <w:tc>
          <w:tcPr>
            <w:tcW w:w="2071" w:type="pct"/>
            <w:shd w:val="clear" w:color="auto" w:fill="99CCFF"/>
            <w:noWrap/>
            <w:vAlign w:val="center"/>
          </w:tcPr>
          <w:p w:rsidR="007C2AEC" w:rsidRPr="00D40DC4" w:rsidRDefault="007C2AEC" w:rsidP="007C2AEC">
            <w:pPr>
              <w:spacing w:after="0"/>
              <w:jc w:val="center"/>
              <w:rPr>
                <w:rFonts w:cs="Arial"/>
                <w:b/>
                <w:szCs w:val="20"/>
              </w:rPr>
            </w:pPr>
            <w:r w:rsidRPr="00D40DC4">
              <w:rPr>
                <w:rFonts w:cs="Arial"/>
                <w:b/>
                <w:szCs w:val="20"/>
              </w:rPr>
              <w:t>Várható értékesítési ár a vizsgált időszak végén</w:t>
            </w:r>
          </w:p>
          <w:p w:rsidR="007C2AEC" w:rsidRPr="00D40DC4" w:rsidRDefault="007C2AEC" w:rsidP="007C2AEC">
            <w:pPr>
              <w:spacing w:after="0"/>
              <w:jc w:val="center"/>
              <w:rPr>
                <w:rFonts w:cs="Arial"/>
                <w:b/>
                <w:szCs w:val="20"/>
              </w:rPr>
            </w:pPr>
            <w:r w:rsidRPr="00D40DC4">
              <w:rPr>
                <w:rFonts w:cs="Arial"/>
                <w:b/>
                <w:szCs w:val="20"/>
              </w:rPr>
              <w:t>(Ft)</w:t>
            </w:r>
          </w:p>
        </w:tc>
      </w:tr>
      <w:tr w:rsidR="007C2AEC" w:rsidRPr="00D40DC4" w:rsidTr="007C2AEC">
        <w:trPr>
          <w:trHeight w:val="255"/>
        </w:trPr>
        <w:tc>
          <w:tcPr>
            <w:tcW w:w="859" w:type="pct"/>
            <w:shd w:val="clear" w:color="auto" w:fill="auto"/>
            <w:noWrap/>
          </w:tcPr>
          <w:p w:rsidR="007C2AEC" w:rsidRPr="00D40DC4" w:rsidRDefault="007C2AEC" w:rsidP="006F2748">
            <w:pPr>
              <w:numPr>
                <w:ilvl w:val="0"/>
                <w:numId w:val="60"/>
              </w:numPr>
              <w:rPr>
                <w:szCs w:val="20"/>
              </w:rPr>
            </w:pPr>
            <w:r w:rsidRPr="00D40DC4">
              <w:t>tétel 1</w:t>
            </w:r>
          </w:p>
        </w:tc>
        <w:tc>
          <w:tcPr>
            <w:tcW w:w="2071" w:type="pct"/>
          </w:tcPr>
          <w:p w:rsidR="007C2AEC" w:rsidRPr="00D40DC4" w:rsidRDefault="007C2AEC" w:rsidP="007C2AEC">
            <w:pPr>
              <w:spacing w:after="0"/>
              <w:rPr>
                <w:rFonts w:cs="Arial"/>
                <w:szCs w:val="20"/>
              </w:rPr>
            </w:pPr>
          </w:p>
        </w:tc>
        <w:tc>
          <w:tcPr>
            <w:tcW w:w="2071"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859" w:type="pct"/>
            <w:shd w:val="clear" w:color="auto" w:fill="auto"/>
            <w:noWrap/>
          </w:tcPr>
          <w:p w:rsidR="007C2AEC" w:rsidRPr="00D40DC4" w:rsidRDefault="007C2AEC" w:rsidP="006F2748">
            <w:pPr>
              <w:numPr>
                <w:ilvl w:val="0"/>
                <w:numId w:val="60"/>
              </w:numPr>
              <w:rPr>
                <w:szCs w:val="20"/>
              </w:rPr>
            </w:pPr>
            <w:r w:rsidRPr="00D40DC4">
              <w:t>tétel 2</w:t>
            </w:r>
          </w:p>
        </w:tc>
        <w:tc>
          <w:tcPr>
            <w:tcW w:w="2071" w:type="pct"/>
          </w:tcPr>
          <w:p w:rsidR="007C2AEC" w:rsidRPr="00D40DC4" w:rsidRDefault="007C2AEC" w:rsidP="007C2AEC">
            <w:pPr>
              <w:spacing w:after="0"/>
              <w:rPr>
                <w:rFonts w:cs="Arial"/>
                <w:szCs w:val="20"/>
              </w:rPr>
            </w:pPr>
          </w:p>
        </w:tc>
        <w:tc>
          <w:tcPr>
            <w:tcW w:w="2071"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859" w:type="pct"/>
            <w:shd w:val="clear" w:color="auto" w:fill="auto"/>
            <w:noWrap/>
          </w:tcPr>
          <w:p w:rsidR="007C2AEC" w:rsidRPr="00D40DC4" w:rsidRDefault="007C2AEC" w:rsidP="006F2748">
            <w:pPr>
              <w:numPr>
                <w:ilvl w:val="0"/>
                <w:numId w:val="60"/>
              </w:numPr>
              <w:rPr>
                <w:szCs w:val="20"/>
              </w:rPr>
            </w:pPr>
            <w:r w:rsidRPr="00D40DC4">
              <w:t>tétel 3</w:t>
            </w:r>
          </w:p>
        </w:tc>
        <w:tc>
          <w:tcPr>
            <w:tcW w:w="2071" w:type="pct"/>
          </w:tcPr>
          <w:p w:rsidR="007C2AEC" w:rsidRPr="00D40DC4" w:rsidRDefault="007C2AEC" w:rsidP="007C2AEC">
            <w:pPr>
              <w:spacing w:after="0"/>
              <w:rPr>
                <w:rFonts w:cs="Arial"/>
                <w:szCs w:val="20"/>
              </w:rPr>
            </w:pPr>
          </w:p>
        </w:tc>
        <w:tc>
          <w:tcPr>
            <w:tcW w:w="2071" w:type="pct"/>
            <w:shd w:val="clear" w:color="auto" w:fill="auto"/>
            <w:noWrap/>
            <w:vAlign w:val="bottom"/>
          </w:tcPr>
          <w:p w:rsidR="007C2AEC" w:rsidRPr="00D40DC4" w:rsidRDefault="007C2AEC" w:rsidP="007C2AEC">
            <w:pPr>
              <w:spacing w:after="0"/>
              <w:rPr>
                <w:rFonts w:cs="Arial"/>
                <w:szCs w:val="20"/>
              </w:rPr>
            </w:pPr>
          </w:p>
        </w:tc>
      </w:tr>
      <w:tr w:rsidR="007C2AEC" w:rsidRPr="00D40DC4" w:rsidTr="007C2AEC">
        <w:trPr>
          <w:trHeight w:val="255"/>
        </w:trPr>
        <w:tc>
          <w:tcPr>
            <w:tcW w:w="859" w:type="pct"/>
            <w:shd w:val="clear" w:color="auto" w:fill="auto"/>
            <w:noWrap/>
          </w:tcPr>
          <w:p w:rsidR="007C2AEC" w:rsidRPr="00D40DC4" w:rsidRDefault="007C2AEC" w:rsidP="006F2748">
            <w:pPr>
              <w:numPr>
                <w:ilvl w:val="0"/>
                <w:numId w:val="60"/>
              </w:numPr>
            </w:pPr>
            <w:r w:rsidRPr="00D40DC4">
              <w:t>Összesen</w:t>
            </w:r>
          </w:p>
        </w:tc>
        <w:tc>
          <w:tcPr>
            <w:tcW w:w="2071" w:type="pct"/>
          </w:tcPr>
          <w:p w:rsidR="007C2AEC" w:rsidRPr="00D40DC4" w:rsidRDefault="007C2AEC" w:rsidP="007C2AEC">
            <w:pPr>
              <w:spacing w:after="0"/>
              <w:rPr>
                <w:rFonts w:cs="Arial"/>
                <w:szCs w:val="20"/>
              </w:rPr>
            </w:pPr>
          </w:p>
        </w:tc>
        <w:tc>
          <w:tcPr>
            <w:tcW w:w="2071" w:type="pct"/>
            <w:shd w:val="clear" w:color="auto" w:fill="auto"/>
            <w:noWrap/>
            <w:vAlign w:val="bottom"/>
          </w:tcPr>
          <w:p w:rsidR="007C2AEC" w:rsidRPr="00D40DC4" w:rsidRDefault="007C2AEC" w:rsidP="007C2AEC">
            <w:pPr>
              <w:spacing w:after="0"/>
              <w:rPr>
                <w:rFonts w:cs="Arial"/>
                <w:szCs w:val="20"/>
              </w:rPr>
            </w:pPr>
          </w:p>
        </w:tc>
      </w:tr>
    </w:tbl>
    <w:p w:rsidR="007C2AEC" w:rsidRPr="00D40DC4" w:rsidRDefault="007C2AEC" w:rsidP="007C2AEC">
      <w:pPr>
        <w:rPr>
          <w:rFonts w:cs="Arial"/>
        </w:rPr>
      </w:pPr>
    </w:p>
    <w:p w:rsidR="007C2AEC" w:rsidRPr="00D40DC4" w:rsidRDefault="007C2AEC" w:rsidP="00DD7E6C">
      <w:pPr>
        <w:pStyle w:val="Cmsor2"/>
      </w:pPr>
      <w:bookmarkStart w:id="508" w:name="_Toc428779154"/>
      <w:bookmarkStart w:id="509" w:name="_Toc428779155"/>
      <w:bookmarkStart w:id="510" w:name="_Toc428779158"/>
      <w:bookmarkStart w:id="511" w:name="_Toc428779159"/>
      <w:bookmarkStart w:id="512" w:name="_Toc428779160"/>
      <w:bookmarkStart w:id="513" w:name="_Toc428779161"/>
      <w:bookmarkStart w:id="514" w:name="_Toc428779162"/>
      <w:bookmarkStart w:id="515" w:name="_Toc428779163"/>
      <w:bookmarkStart w:id="516" w:name="_Toc428779164"/>
      <w:bookmarkStart w:id="517" w:name="_Toc428779165"/>
      <w:bookmarkStart w:id="518" w:name="_Toc428779166"/>
      <w:bookmarkStart w:id="519" w:name="_Toc428779167"/>
      <w:bookmarkStart w:id="520" w:name="_Toc428779180"/>
      <w:bookmarkStart w:id="521" w:name="_Toc428779181"/>
      <w:bookmarkStart w:id="522" w:name="_Toc428779182"/>
      <w:bookmarkStart w:id="523" w:name="_Toc428779183"/>
      <w:bookmarkStart w:id="524" w:name="_Toc428779214"/>
      <w:bookmarkStart w:id="525" w:name="_Toc436923899"/>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D40DC4">
        <w:t>Pénzügyi bevételek becslése</w:t>
      </w:r>
      <w:bookmarkEnd w:id="524"/>
      <w:bookmarkEnd w:id="525"/>
    </w:p>
    <w:p w:rsidR="007C2AEC" w:rsidRPr="00D40DC4" w:rsidRDefault="007C2AEC" w:rsidP="007C2AEC">
      <w:pPr>
        <w:pStyle w:val="Cmsor7"/>
      </w:pPr>
      <w:r w:rsidRPr="00D40DC4">
        <w:t>Egyszerűsítés a bevételek becslésekor</w:t>
      </w:r>
    </w:p>
    <w:p w:rsidR="007C2AEC" w:rsidRPr="00D40DC4" w:rsidRDefault="007C2AEC" w:rsidP="007C2AEC">
      <w:pPr>
        <w:rPr>
          <w:lang w:eastAsia="hu-HU"/>
        </w:rPr>
      </w:pPr>
      <w:r w:rsidRPr="00D40DC4">
        <w:rPr>
          <w:lang w:eastAsia="hu-HU"/>
        </w:rPr>
        <w:t>A bevételek becslésekor alkalmazott fajlagos értékek egyszerűsített bemutatása és/vagy a naturáliák becslésének alacsonyabb szintű modellezése is elegendő. A bevételek kevésbé részletezett, akár teljes összevont bemutatása is elfogadható.</w:t>
      </w:r>
    </w:p>
    <w:p w:rsidR="007C2AEC" w:rsidRPr="00D40DC4" w:rsidRDefault="007C2AEC" w:rsidP="007C2AEC">
      <w:pPr>
        <w:rPr>
          <w:lang w:eastAsia="hu-HU"/>
        </w:rPr>
      </w:pPr>
      <w:r w:rsidRPr="00D40DC4">
        <w:rPr>
          <w:lang w:eastAsia="hu-HU"/>
        </w:rPr>
        <w:t>Fontos, hogy a becslés módszertana ebben az esetben is elegendően részletes legyen ahhoz, hogy a számítás visszakövethető és ellenőrizhető legyen.</w:t>
      </w:r>
    </w:p>
    <w:p w:rsidR="007C2AEC" w:rsidRPr="00D40DC4" w:rsidRDefault="007C2AEC" w:rsidP="00DD7E6C">
      <w:pPr>
        <w:pStyle w:val="Cmsor3"/>
      </w:pPr>
      <w:bookmarkStart w:id="526" w:name="_Toc428779215"/>
      <w:bookmarkStart w:id="527" w:name="_Toc436923900"/>
      <w:r w:rsidRPr="00D40DC4">
        <w:t>Bevételek becslése</w:t>
      </w:r>
      <w:bookmarkEnd w:id="526"/>
      <w:bookmarkEnd w:id="527"/>
    </w:p>
    <w:p w:rsidR="007C2AEC" w:rsidRPr="00D40DC4" w:rsidRDefault="007C2AEC" w:rsidP="005A76C2">
      <w:pPr>
        <w:pStyle w:val="Cmsor4"/>
      </w:pPr>
      <w:r w:rsidRPr="00D40DC4">
        <w:t>A pénzügyi bevételek becslésének módszertana</w:t>
      </w:r>
    </w:p>
    <w:p w:rsidR="007C2AEC" w:rsidRPr="00D40DC4" w:rsidRDefault="007C2AEC" w:rsidP="007C2AEC">
      <w:pPr>
        <w:rPr>
          <w:rFonts w:cs="Arial"/>
        </w:rPr>
      </w:pPr>
      <w:r w:rsidRPr="00D40DC4">
        <w:rPr>
          <w:rFonts w:cs="Arial"/>
        </w:rPr>
        <w:t>A bevételek a mennyiségi és fajlagos értékek szorzataként számolhatók. A költségek becslésének alapadatait részletesen be kell mutatni.</w:t>
      </w:r>
    </w:p>
    <w:p w:rsidR="007C2AEC" w:rsidRPr="00D40DC4" w:rsidRDefault="007C2AEC" w:rsidP="007C2AEC">
      <w:pPr>
        <w:rPr>
          <w:rFonts w:cs="Arial"/>
        </w:rPr>
      </w:pPr>
      <w:r w:rsidRPr="00D40DC4">
        <w:rPr>
          <w:rFonts w:cs="Arial"/>
        </w:rPr>
        <w:t>A bevételek között nem szerepelhet semmilyen támogatás, így például az önkormányzat által továbbadott fogyasztói árkiegészítés, valamint az önkormányzat által fizetett egyéb veszteség kiegyenlítő támogatás sem.</w:t>
      </w:r>
    </w:p>
    <w:p w:rsidR="007C2AEC" w:rsidRPr="00D40DC4" w:rsidRDefault="007C2AEC" w:rsidP="007C2AEC">
      <w:r w:rsidRPr="00D40DC4">
        <w:t xml:space="preserve">Azokban az ágazatokban, ahol ez lényeges (beleértve a környezetvédelmi ágazatot) a tarifákat a „szennyező fizet” elvvel – a 480/2014/EU felhatalmazáson alapuló bizottsági rendeletben foglalt rendelkezésnek megfelelően a megfizethetőség szempontja figyelembevételével – és a teljes körű térítés elvével összhangban állapítják meg. A teljes körű térítés elvével való összhanghoz hozzátartoznak a következők: </w:t>
      </w:r>
    </w:p>
    <w:p w:rsidR="007C2AEC" w:rsidRPr="00D40DC4" w:rsidRDefault="007C2AEC" w:rsidP="008E60FC">
      <w:r w:rsidRPr="00D40DC4">
        <w:t xml:space="preserve">a tarifáknak lehetőség szerint a tőkeköltség, a működési és karbantartási költségek visszatérítését kell célozniuk, beleértve a környezetvédelmi és erőforrás-költségeket; </w:t>
      </w:r>
    </w:p>
    <w:p w:rsidR="007C2AEC" w:rsidRPr="00D40DC4" w:rsidRDefault="007C2AEC" w:rsidP="008E60FC">
      <w:r w:rsidRPr="00D40DC4">
        <w:t xml:space="preserve">a tarifák szerkezete maximalizálja a projekt a közpénzből történő támogatást megelőző bevételeit, figyelembe véve a megfizethetőségi szempontokat is. </w:t>
      </w:r>
    </w:p>
    <w:p w:rsidR="007C2AEC" w:rsidRPr="00D40DC4" w:rsidRDefault="007C2AEC" w:rsidP="007C2AEC">
      <w:r w:rsidRPr="00D40DC4">
        <w:t xml:space="preserve">A szennyező fizet és a teljes körű térítés elve a felhasználói költségekben és díjakban történő érvényesítésének korlátai: </w:t>
      </w:r>
    </w:p>
    <w:p w:rsidR="007C2AEC" w:rsidRPr="00D40DC4" w:rsidRDefault="007C2AEC" w:rsidP="008E60FC">
      <w:r w:rsidRPr="00D40DC4">
        <w:t xml:space="preserve">nem veszélyeztethetik a projekt pénzügyi fenntarthatóságát; </w:t>
      </w:r>
    </w:p>
    <w:p w:rsidR="007C2AEC" w:rsidRPr="00D40DC4" w:rsidRDefault="007C2AEC" w:rsidP="008E60FC">
      <w:r w:rsidRPr="00D40DC4">
        <w:t xml:space="preserve">általános szabályként átmeneti korlátozásnak tekintendők és kizárólag addig alkalmazandók, amíg a megfizethetőségi szempontok ezt szükségessé teszik. </w:t>
      </w:r>
    </w:p>
    <w:p w:rsidR="004226B0" w:rsidRPr="00D40DC4" w:rsidRDefault="004226B0" w:rsidP="007C2AEC">
      <w:pPr>
        <w:rPr>
          <w:rFonts w:cs="Arial"/>
        </w:rPr>
      </w:pPr>
    </w:p>
    <w:p w:rsidR="007C2AEC" w:rsidRPr="00D40DC4" w:rsidRDefault="007C2AEC" w:rsidP="007C2AEC">
      <w:r w:rsidRPr="00D40DC4">
        <w:rPr>
          <w:rFonts w:cs="Arial"/>
        </w:rPr>
        <w:t>A 1303/2013/EU rendelet 61. cikk (5) bekezdése szerint a</w:t>
      </w:r>
      <w:r w:rsidRPr="00D40DC4">
        <w:t xml:space="preserve">mennyiben objektíve nem lehetséges előre meghatározni a bevételt, a művelet befejezése utáni hároméves időszakon belül, vagy a dokumentumoknak az alapspecifikus szabályokban rögzített, a programok lezárásakor történő benyújtásának </w:t>
      </w:r>
      <w:r w:rsidRPr="00D40DC4">
        <w:rPr>
          <w:rFonts w:cs="Arial"/>
        </w:rPr>
        <w:t xml:space="preserve">határidejéig </w:t>
      </w:r>
      <w:r w:rsidRPr="00D40DC4">
        <w:t>– amelyik korábban következik be – megtermelt nettó bevételt le kell vonni a Bizottságnak bejelentett kiadásokból.</w:t>
      </w:r>
    </w:p>
    <w:p w:rsidR="007C2AEC" w:rsidRPr="00D40DC4" w:rsidRDefault="007C2AEC" w:rsidP="007C2AEC">
      <w:r w:rsidRPr="00D40DC4">
        <w:t>A bevételek számítása során alkalmazott feltételezéseket mindig az adott projekt szintjén kell vizsgálni és azokat részletesen bemutatni. Valamennyi releváns bevételi tételt fel kell tüntetni azok becslési módszerével együtt.</w:t>
      </w:r>
    </w:p>
    <w:p w:rsidR="007C2AEC" w:rsidRPr="00D40DC4" w:rsidRDefault="007C2AEC" w:rsidP="007C2AEC">
      <w:r w:rsidRPr="00D40DC4">
        <w:t>Amennyiben az adott projekthez közvetlenül kapcsolható bevételre vonatkozóan rendelkezésre áll adat, akkor azt a bevételszámításnál figyelembe kell venni a projekt és a projekt nélküli esetben is. Abban az esetben, ha a projektes esetben a fajlagos bevételek változása feltételezhető, mindkét esetet részletesen be kell mutatni.</w:t>
      </w:r>
    </w:p>
    <w:p w:rsidR="007C2AEC" w:rsidRPr="00D40DC4" w:rsidRDefault="007C2AEC" w:rsidP="007C2AEC">
      <w:pPr>
        <w:rPr>
          <w:rFonts w:cs="Arial"/>
        </w:rPr>
      </w:pPr>
      <w:r w:rsidRPr="00D40DC4">
        <w:rPr>
          <w:rFonts w:cs="Arial"/>
        </w:rPr>
        <w:t>A bevételek becslésekor alkalmazott naturáliákat a fajlagos bevételekhez illeszkedő felbontásban kell bemutatni.</w:t>
      </w:r>
    </w:p>
    <w:p w:rsidR="007C2AEC" w:rsidRPr="00D40DC4" w:rsidRDefault="007C2AEC" w:rsidP="007C2AEC">
      <w:pPr>
        <w:rPr>
          <w:rFonts w:cs="Arial"/>
        </w:rPr>
      </w:pPr>
      <w:r w:rsidRPr="00D40DC4">
        <w:rPr>
          <w:rFonts w:cs="Arial"/>
        </w:rPr>
        <w:t xml:space="preserve">Meglévő létesítmények bővítésekor különbözeti módszerrel számolt eredmények mellett be kell mutatni mind a projektes, mint a projekt nélküli eset adatait is. Bizonyos esetekben, amikor az input </w:t>
      </w:r>
      <w:r w:rsidRPr="00D40DC4">
        <w:rPr>
          <w:rFonts w:cs="Arial"/>
        </w:rPr>
        <w:lastRenderedPageBreak/>
        <w:t>adatok (naturáliák) csak különbözetként becsülhetők, ennek feltüntetése mellett elegendő a különbözeti adatok bemutatása.</w:t>
      </w:r>
    </w:p>
    <w:p w:rsidR="007C2AEC" w:rsidRPr="00D40DC4" w:rsidRDefault="007C2AEC" w:rsidP="005A76C2">
      <w:pPr>
        <w:pStyle w:val="Cmsor4"/>
      </w:pPr>
      <w:r w:rsidRPr="00D40DC4">
        <w:t>A becsléshez használt inputok</w:t>
      </w:r>
    </w:p>
    <w:p w:rsidR="007C2AEC" w:rsidRPr="00D40DC4" w:rsidRDefault="007C2AEC" w:rsidP="007C2AEC">
      <w:pPr>
        <w:rPr>
          <w:lang w:eastAsia="x-none"/>
        </w:rPr>
      </w:pPr>
      <w:r w:rsidRPr="00D40DC4">
        <w:rPr>
          <w:lang w:eastAsia="x-none"/>
        </w:rPr>
        <w:t>A fajlagos bevételek példaszerű bemutatását a következő táblázat tartalmazza.</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528" w:name="_Toc428775215"/>
      <w:bookmarkStart w:id="529" w:name="_Toc428776188"/>
      <w:bookmarkStart w:id="530" w:name="_Toc436923949"/>
      <w:r w:rsidR="007B4938" w:rsidRPr="00D40DC4">
        <w:rPr>
          <w:noProof/>
        </w:rPr>
        <w:t>16</w:t>
      </w:r>
      <w:r w:rsidRPr="00D40DC4">
        <w:rPr>
          <w:noProof/>
        </w:rPr>
        <w:fldChar w:fldCharType="end"/>
      </w:r>
      <w:r w:rsidRPr="00D40DC4">
        <w:rPr>
          <w:noProof/>
        </w:rPr>
        <w:t>. táblázat: A projekt fajlagos bevételi pénzáramai (Ft/naturália)</w:t>
      </w:r>
      <w:bookmarkEnd w:id="528"/>
      <w:bookmarkEnd w:id="529"/>
      <w:bookmarkEnd w:id="530"/>
    </w:p>
    <w:p w:rsidR="003C4658" w:rsidRPr="00D40DC4" w:rsidRDefault="003C4658" w:rsidP="002314F2">
      <w:pPr>
        <w:pStyle w:val="Tblzat"/>
        <w:rPr>
          <w:noProof/>
        </w:rPr>
      </w:pPr>
    </w:p>
    <w:p w:rsidR="007C2AEC" w:rsidRPr="00D40DC4" w:rsidRDefault="007C2AEC" w:rsidP="007C2AEC">
      <w:pPr>
        <w:rPr>
          <w:lang w:eastAsia="x-none"/>
        </w:rPr>
      </w:pPr>
      <w:r w:rsidRPr="00D40DC4">
        <w:rPr>
          <w:lang w:eastAsia="x-none"/>
        </w:rPr>
        <w:t xml:space="preserve">A fajlagos bevételekhez tartozó naturáliákat a következő táblázatban mutatjuk be. </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531" w:name="_Toc428775218"/>
      <w:bookmarkStart w:id="532" w:name="_Toc428776191"/>
      <w:bookmarkStart w:id="533" w:name="_Toc436923950"/>
      <w:r w:rsidR="007B4938" w:rsidRPr="00D40DC4">
        <w:rPr>
          <w:noProof/>
        </w:rPr>
        <w:t>17</w:t>
      </w:r>
      <w:r w:rsidRPr="00D40DC4">
        <w:rPr>
          <w:noProof/>
        </w:rPr>
        <w:fldChar w:fldCharType="end"/>
      </w:r>
      <w:r w:rsidRPr="00D40DC4">
        <w:rPr>
          <w:noProof/>
        </w:rPr>
        <w:t>. táblázat: A projekt fajlagos bevételekkel kapcsolatos teljesítményei (naturália)</w:t>
      </w:r>
      <w:bookmarkEnd w:id="531"/>
      <w:bookmarkEnd w:id="532"/>
      <w:bookmarkEnd w:id="5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1"/>
        <w:gridCol w:w="1314"/>
        <w:gridCol w:w="1317"/>
        <w:gridCol w:w="1314"/>
        <w:gridCol w:w="280"/>
        <w:gridCol w:w="1336"/>
      </w:tblGrid>
      <w:tr w:rsidR="003447C5" w:rsidRPr="00D40DC4" w:rsidTr="009E0823">
        <w:trPr>
          <w:trHeight w:val="255"/>
          <w:tblHeader/>
        </w:trPr>
        <w:tc>
          <w:tcPr>
            <w:tcW w:w="1982" w:type="pct"/>
            <w:shd w:val="clear" w:color="auto" w:fill="99CCFF"/>
            <w:noWrap/>
            <w:vAlign w:val="center"/>
          </w:tcPr>
          <w:p w:rsidR="003447C5" w:rsidRPr="00D40DC4" w:rsidRDefault="003447C5" w:rsidP="009E0823">
            <w:pPr>
              <w:spacing w:after="0"/>
              <w:jc w:val="center"/>
              <w:rPr>
                <w:rFonts w:cs="Arial"/>
                <w:b/>
                <w:szCs w:val="20"/>
              </w:rPr>
            </w:pPr>
            <w:r w:rsidRPr="00D40DC4">
              <w:rPr>
                <w:rFonts w:cs="Arial"/>
                <w:b/>
                <w:szCs w:val="20"/>
              </w:rPr>
              <w:t>Megnevezés</w:t>
            </w:r>
          </w:p>
        </w:tc>
        <w:tc>
          <w:tcPr>
            <w:tcW w:w="713" w:type="pct"/>
            <w:shd w:val="clear" w:color="auto" w:fill="99CCFF"/>
            <w:noWrap/>
            <w:vAlign w:val="center"/>
          </w:tcPr>
          <w:p w:rsidR="003447C5" w:rsidRPr="00D40DC4" w:rsidRDefault="003447C5" w:rsidP="009E0823">
            <w:pPr>
              <w:spacing w:after="0"/>
              <w:jc w:val="center"/>
              <w:rPr>
                <w:rFonts w:cs="Arial"/>
                <w:b/>
                <w:szCs w:val="20"/>
              </w:rPr>
            </w:pPr>
            <w:r w:rsidRPr="00D40DC4">
              <w:rPr>
                <w:rFonts w:cs="Arial"/>
                <w:b/>
                <w:szCs w:val="20"/>
              </w:rPr>
              <w:t>FPV</w:t>
            </w:r>
          </w:p>
        </w:tc>
        <w:tc>
          <w:tcPr>
            <w:tcW w:w="715" w:type="pct"/>
            <w:shd w:val="clear" w:color="auto" w:fill="99CCFF"/>
          </w:tcPr>
          <w:p w:rsidR="003447C5" w:rsidRPr="00D40DC4" w:rsidRDefault="003447C5" w:rsidP="009E0823">
            <w:pPr>
              <w:spacing w:after="0"/>
              <w:jc w:val="center"/>
              <w:rPr>
                <w:rFonts w:cs="Arial"/>
                <w:b/>
                <w:szCs w:val="20"/>
              </w:rPr>
            </w:pPr>
            <w:r w:rsidRPr="00D40DC4">
              <w:rPr>
                <w:rFonts w:cs="Arial"/>
                <w:b/>
                <w:szCs w:val="20"/>
              </w:rPr>
              <w:t>1. év</w:t>
            </w:r>
          </w:p>
        </w:tc>
        <w:tc>
          <w:tcPr>
            <w:tcW w:w="713" w:type="pct"/>
            <w:shd w:val="clear" w:color="auto" w:fill="99CCFF"/>
          </w:tcPr>
          <w:p w:rsidR="003447C5" w:rsidRPr="00D40DC4" w:rsidRDefault="003447C5" w:rsidP="009E0823">
            <w:pPr>
              <w:spacing w:after="0"/>
              <w:jc w:val="center"/>
              <w:rPr>
                <w:rFonts w:cs="Arial"/>
                <w:b/>
                <w:szCs w:val="20"/>
              </w:rPr>
            </w:pPr>
            <w:r w:rsidRPr="00D40DC4">
              <w:rPr>
                <w:rFonts w:cs="Arial"/>
                <w:b/>
                <w:szCs w:val="20"/>
              </w:rPr>
              <w:t>2. év</w:t>
            </w:r>
          </w:p>
        </w:tc>
        <w:tc>
          <w:tcPr>
            <w:tcW w:w="152" w:type="pct"/>
            <w:shd w:val="clear" w:color="auto" w:fill="99CCFF"/>
            <w:noWrap/>
            <w:vAlign w:val="center"/>
          </w:tcPr>
          <w:p w:rsidR="003447C5" w:rsidRPr="00D40DC4" w:rsidRDefault="003447C5" w:rsidP="009E0823">
            <w:pPr>
              <w:spacing w:after="0"/>
              <w:jc w:val="center"/>
              <w:rPr>
                <w:rFonts w:cs="Arial"/>
                <w:b/>
                <w:szCs w:val="20"/>
              </w:rPr>
            </w:pPr>
            <w:r w:rsidRPr="00D40DC4">
              <w:rPr>
                <w:rFonts w:cs="Arial"/>
                <w:b/>
                <w:szCs w:val="20"/>
              </w:rPr>
              <w:t>…</w:t>
            </w:r>
          </w:p>
        </w:tc>
        <w:tc>
          <w:tcPr>
            <w:tcW w:w="725" w:type="pct"/>
            <w:shd w:val="clear" w:color="auto" w:fill="99CCFF"/>
            <w:noWrap/>
            <w:vAlign w:val="bottom"/>
          </w:tcPr>
          <w:p w:rsidR="003447C5" w:rsidRPr="00D40DC4" w:rsidRDefault="003447C5" w:rsidP="009E0823">
            <w:pPr>
              <w:spacing w:after="0"/>
              <w:jc w:val="center"/>
              <w:rPr>
                <w:rFonts w:cs="Arial"/>
                <w:b/>
                <w:szCs w:val="20"/>
              </w:rPr>
            </w:pPr>
            <w:r w:rsidRPr="00D40DC4">
              <w:rPr>
                <w:rFonts w:cs="Arial"/>
                <w:b/>
                <w:szCs w:val="20"/>
              </w:rPr>
              <w:t>n. év</w:t>
            </w: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szCs w:val="20"/>
              </w:rPr>
            </w:pPr>
            <w:r w:rsidRPr="00D40DC4">
              <w:t>Az infrastruktúra használatáért közvetlenül a felhasználókat terhelő díjak</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pPr>
            <w:r w:rsidRPr="00D40DC4">
              <w:t>...</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szCs w:val="20"/>
              </w:rPr>
            </w:pPr>
            <w:r w:rsidRPr="00D40DC4">
              <w:t>A föld vagy az épületek eladásából vagy bérbeadásából származó bevételeket vagy</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pPr>
            <w:r w:rsidRPr="00D40DC4">
              <w:t>...</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pPr>
            <w:r w:rsidRPr="00D40DC4">
              <w:t xml:space="preserve">Egyéb </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pPr>
            <w:r w:rsidRPr="00D40DC4">
              <w:t>...</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b/>
              </w:rPr>
            </w:pPr>
            <w:r w:rsidRPr="00D40DC4">
              <w:rPr>
                <w:b/>
              </w:rPr>
              <w:t>Pénzügyi bevételek (1+2+3)</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szCs w:val="20"/>
              </w:rPr>
            </w:pPr>
            <w:r w:rsidRPr="00D40DC4">
              <w:rPr>
                <w:rFonts w:cs="Arial"/>
                <w:szCs w:val="20"/>
              </w:rPr>
              <w:t>Költségvetési díjkiegészítés</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pPr>
            <w:r w:rsidRPr="00D40DC4">
              <w:t>...</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szCs w:val="20"/>
              </w:rPr>
            </w:pPr>
            <w:r w:rsidRPr="00D40DC4">
              <w:t>A szolgáltatásokért a közszolgáltatási szerződés szerint kapott ellentételezést</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pP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pPr>
            <w:r w:rsidRPr="00D40DC4">
              <w:rPr>
                <w:rFonts w:cs="Arial"/>
                <w:szCs w:val="20"/>
              </w:rPr>
              <w:t xml:space="preserve">Egyéb </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1"/>
                <w:numId w:val="163"/>
              </w:numPr>
              <w:spacing w:after="0"/>
              <w:contextualSpacing/>
              <w:rPr>
                <w:rFonts w:cs="Arial"/>
                <w:szCs w:val="20"/>
              </w:rPr>
            </w:pP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b/>
                <w:szCs w:val="20"/>
              </w:rPr>
            </w:pPr>
            <w:r w:rsidRPr="00D40DC4">
              <w:rPr>
                <w:rFonts w:cs="Arial"/>
                <w:b/>
                <w:szCs w:val="20"/>
              </w:rPr>
              <w:t>Egyéb bejövő pénzáramok (5+6+7)</w:t>
            </w:r>
          </w:p>
        </w:tc>
        <w:tc>
          <w:tcPr>
            <w:tcW w:w="713" w:type="pct"/>
            <w:shd w:val="clear" w:color="auto" w:fill="auto"/>
            <w:noWrap/>
            <w:vAlign w:val="bottom"/>
          </w:tcPr>
          <w:p w:rsidR="003447C5" w:rsidRPr="00D40DC4" w:rsidRDefault="003447C5" w:rsidP="009E0823">
            <w:pPr>
              <w:spacing w:after="0"/>
              <w:rPr>
                <w:rFonts w:cs="Arial"/>
                <w:szCs w:val="20"/>
              </w:rPr>
            </w:pPr>
          </w:p>
        </w:tc>
        <w:tc>
          <w:tcPr>
            <w:tcW w:w="715" w:type="pct"/>
          </w:tcPr>
          <w:p w:rsidR="003447C5" w:rsidRPr="00D40DC4" w:rsidRDefault="003447C5" w:rsidP="009E0823">
            <w:pPr>
              <w:spacing w:after="0"/>
              <w:rPr>
                <w:rFonts w:cs="Arial"/>
                <w:szCs w:val="20"/>
              </w:rPr>
            </w:pPr>
          </w:p>
        </w:tc>
        <w:tc>
          <w:tcPr>
            <w:tcW w:w="713" w:type="pct"/>
          </w:tcPr>
          <w:p w:rsidR="003447C5" w:rsidRPr="00D40DC4" w:rsidRDefault="003447C5" w:rsidP="009E0823">
            <w:pPr>
              <w:spacing w:after="0"/>
              <w:rPr>
                <w:rFonts w:cs="Arial"/>
                <w:szCs w:val="20"/>
              </w:rPr>
            </w:pPr>
          </w:p>
        </w:tc>
        <w:tc>
          <w:tcPr>
            <w:tcW w:w="152" w:type="pct"/>
            <w:shd w:val="clear" w:color="auto" w:fill="auto"/>
            <w:noWrap/>
            <w:vAlign w:val="bottom"/>
          </w:tcPr>
          <w:p w:rsidR="003447C5" w:rsidRPr="00D40DC4" w:rsidRDefault="003447C5" w:rsidP="009E0823">
            <w:pPr>
              <w:spacing w:after="0"/>
              <w:rPr>
                <w:rFonts w:cs="Arial"/>
                <w:szCs w:val="20"/>
              </w:rPr>
            </w:pPr>
          </w:p>
        </w:tc>
        <w:tc>
          <w:tcPr>
            <w:tcW w:w="725" w:type="pct"/>
            <w:shd w:val="clear" w:color="auto" w:fill="auto"/>
            <w:noWrap/>
            <w:vAlign w:val="bottom"/>
          </w:tcPr>
          <w:p w:rsidR="003447C5" w:rsidRPr="00D40DC4" w:rsidRDefault="003447C5" w:rsidP="009E0823">
            <w:pPr>
              <w:spacing w:after="0"/>
              <w:rPr>
                <w:rFonts w:cs="Arial"/>
                <w:szCs w:val="20"/>
              </w:rPr>
            </w:pPr>
          </w:p>
        </w:tc>
      </w:tr>
      <w:tr w:rsidR="003447C5" w:rsidRPr="00D40DC4" w:rsidTr="009E0823">
        <w:trPr>
          <w:trHeight w:val="255"/>
        </w:trPr>
        <w:tc>
          <w:tcPr>
            <w:tcW w:w="1982" w:type="pct"/>
            <w:shd w:val="clear" w:color="auto" w:fill="auto"/>
            <w:noWrap/>
          </w:tcPr>
          <w:p w:rsidR="003447C5" w:rsidRPr="00D40DC4" w:rsidRDefault="003447C5" w:rsidP="003447C5">
            <w:pPr>
              <w:pStyle w:val="Listaszerbekezds"/>
              <w:numPr>
                <w:ilvl w:val="0"/>
                <w:numId w:val="163"/>
              </w:numPr>
              <w:spacing w:after="0"/>
              <w:contextualSpacing/>
              <w:rPr>
                <w:rFonts w:cs="Arial"/>
                <w:b/>
                <w:szCs w:val="20"/>
              </w:rPr>
            </w:pPr>
            <w:r w:rsidRPr="00D40DC4">
              <w:rPr>
                <w:b/>
              </w:rPr>
              <w:t>Bevételek összesen (4+8)</w:t>
            </w:r>
          </w:p>
        </w:tc>
        <w:tc>
          <w:tcPr>
            <w:tcW w:w="713" w:type="pct"/>
            <w:shd w:val="clear" w:color="auto" w:fill="auto"/>
            <w:noWrap/>
            <w:vAlign w:val="bottom"/>
          </w:tcPr>
          <w:p w:rsidR="003447C5" w:rsidRPr="00D40DC4" w:rsidRDefault="003447C5" w:rsidP="009E0823">
            <w:pPr>
              <w:spacing w:after="0"/>
              <w:rPr>
                <w:rFonts w:cs="Arial"/>
                <w:b/>
                <w:szCs w:val="20"/>
              </w:rPr>
            </w:pPr>
          </w:p>
        </w:tc>
        <w:tc>
          <w:tcPr>
            <w:tcW w:w="715" w:type="pct"/>
          </w:tcPr>
          <w:p w:rsidR="003447C5" w:rsidRPr="00D40DC4" w:rsidRDefault="003447C5" w:rsidP="009E0823">
            <w:pPr>
              <w:spacing w:after="0"/>
              <w:rPr>
                <w:rFonts w:cs="Arial"/>
                <w:b/>
                <w:szCs w:val="20"/>
              </w:rPr>
            </w:pPr>
          </w:p>
        </w:tc>
        <w:tc>
          <w:tcPr>
            <w:tcW w:w="713" w:type="pct"/>
          </w:tcPr>
          <w:p w:rsidR="003447C5" w:rsidRPr="00D40DC4" w:rsidRDefault="003447C5" w:rsidP="009E0823">
            <w:pPr>
              <w:spacing w:after="0"/>
              <w:rPr>
                <w:rFonts w:cs="Arial"/>
                <w:b/>
                <w:szCs w:val="20"/>
              </w:rPr>
            </w:pPr>
          </w:p>
        </w:tc>
        <w:tc>
          <w:tcPr>
            <w:tcW w:w="152" w:type="pct"/>
            <w:shd w:val="clear" w:color="auto" w:fill="auto"/>
            <w:noWrap/>
            <w:vAlign w:val="bottom"/>
          </w:tcPr>
          <w:p w:rsidR="003447C5" w:rsidRPr="00D40DC4" w:rsidRDefault="003447C5" w:rsidP="009E0823">
            <w:pPr>
              <w:spacing w:after="0"/>
              <w:rPr>
                <w:rFonts w:cs="Arial"/>
                <w:b/>
                <w:szCs w:val="20"/>
              </w:rPr>
            </w:pPr>
          </w:p>
        </w:tc>
        <w:tc>
          <w:tcPr>
            <w:tcW w:w="725" w:type="pct"/>
            <w:shd w:val="clear" w:color="auto" w:fill="auto"/>
            <w:noWrap/>
            <w:vAlign w:val="bottom"/>
          </w:tcPr>
          <w:p w:rsidR="003447C5" w:rsidRPr="00D40DC4" w:rsidRDefault="003447C5" w:rsidP="009E0823">
            <w:pPr>
              <w:spacing w:after="0"/>
              <w:rPr>
                <w:rFonts w:cs="Arial"/>
                <w:b/>
                <w:szCs w:val="20"/>
              </w:rPr>
            </w:pPr>
          </w:p>
        </w:tc>
      </w:tr>
    </w:tbl>
    <w:p w:rsidR="007C2AEC" w:rsidRPr="00D40DC4" w:rsidRDefault="007C2AEC" w:rsidP="005A76C2">
      <w:pPr>
        <w:pStyle w:val="Cmsor4"/>
      </w:pPr>
      <w:r w:rsidRPr="00D40DC4">
        <w:t>A pénzügyi bevételek becslésének eredménye</w:t>
      </w:r>
    </w:p>
    <w:p w:rsidR="007C2AEC" w:rsidRPr="00D40DC4" w:rsidRDefault="007C2AEC" w:rsidP="007C2AEC">
      <w:pPr>
        <w:rPr>
          <w:lang w:eastAsia="x-none"/>
        </w:rPr>
      </w:pPr>
      <w:r w:rsidRPr="00D40DC4">
        <w:rPr>
          <w:lang w:eastAsia="x-none"/>
        </w:rPr>
        <w:t>A következő táblázatban mutatjuk be pénzügyi bevételek becslésének eredménytábláját. Azokat a bevételi elemeket, melyeknek az értéke projektes és projekt nélküli esetben is 0, nem szükséges bemutatni.</w:t>
      </w:r>
    </w:p>
    <w:p w:rsidR="007C2AEC" w:rsidRPr="00D40DC4" w:rsidRDefault="007C2AEC" w:rsidP="002314F2">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534" w:name="_Toc436923951"/>
      <w:r w:rsidR="007B4938" w:rsidRPr="00D40DC4">
        <w:rPr>
          <w:noProof/>
        </w:rPr>
        <w:t>18</w:t>
      </w:r>
      <w:r w:rsidRPr="00D40DC4">
        <w:rPr>
          <w:noProof/>
        </w:rPr>
        <w:fldChar w:fldCharType="end"/>
      </w:r>
      <w:r w:rsidRPr="00D40DC4">
        <w:rPr>
          <w:noProof/>
        </w:rPr>
        <w:t>. táblázat: A projekt bevételi pénzáramai (Ft)</w:t>
      </w:r>
      <w:bookmarkEnd w:id="5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1"/>
        <w:gridCol w:w="1314"/>
        <w:gridCol w:w="1317"/>
        <w:gridCol w:w="1314"/>
        <w:gridCol w:w="280"/>
        <w:gridCol w:w="1336"/>
      </w:tblGrid>
      <w:tr w:rsidR="00EC5DA3" w:rsidRPr="00D40DC4" w:rsidTr="009E0823">
        <w:trPr>
          <w:trHeight w:val="255"/>
          <w:tblHeader/>
        </w:trPr>
        <w:tc>
          <w:tcPr>
            <w:tcW w:w="1982" w:type="pct"/>
            <w:shd w:val="clear" w:color="auto" w:fill="99CCFF"/>
            <w:noWrap/>
            <w:vAlign w:val="center"/>
          </w:tcPr>
          <w:p w:rsidR="00EC5DA3" w:rsidRPr="00D40DC4" w:rsidRDefault="00EC5DA3" w:rsidP="009E0823">
            <w:pPr>
              <w:spacing w:after="0"/>
              <w:jc w:val="center"/>
              <w:rPr>
                <w:rFonts w:cs="Arial"/>
                <w:b/>
                <w:szCs w:val="20"/>
              </w:rPr>
            </w:pPr>
            <w:r w:rsidRPr="00D40DC4">
              <w:rPr>
                <w:rFonts w:cs="Arial"/>
                <w:b/>
                <w:szCs w:val="20"/>
              </w:rPr>
              <w:t>Megnevezés</w:t>
            </w:r>
          </w:p>
        </w:tc>
        <w:tc>
          <w:tcPr>
            <w:tcW w:w="713" w:type="pct"/>
            <w:shd w:val="clear" w:color="auto" w:fill="99CCFF"/>
            <w:noWrap/>
            <w:vAlign w:val="center"/>
          </w:tcPr>
          <w:p w:rsidR="00EC5DA3" w:rsidRPr="00D40DC4" w:rsidRDefault="00EC5DA3" w:rsidP="009E0823">
            <w:pPr>
              <w:spacing w:after="0"/>
              <w:jc w:val="center"/>
              <w:rPr>
                <w:rFonts w:cs="Arial"/>
                <w:b/>
                <w:szCs w:val="20"/>
              </w:rPr>
            </w:pPr>
            <w:r w:rsidRPr="00D40DC4">
              <w:rPr>
                <w:rFonts w:cs="Arial"/>
                <w:b/>
                <w:szCs w:val="20"/>
              </w:rPr>
              <w:t>FPV</w:t>
            </w:r>
          </w:p>
        </w:tc>
        <w:tc>
          <w:tcPr>
            <w:tcW w:w="715" w:type="pct"/>
            <w:shd w:val="clear" w:color="auto" w:fill="99CCFF"/>
          </w:tcPr>
          <w:p w:rsidR="00EC5DA3" w:rsidRPr="00D40DC4" w:rsidRDefault="00EC5DA3" w:rsidP="009E0823">
            <w:pPr>
              <w:spacing w:after="0"/>
              <w:jc w:val="center"/>
              <w:rPr>
                <w:rFonts w:cs="Arial"/>
                <w:b/>
                <w:szCs w:val="20"/>
              </w:rPr>
            </w:pPr>
            <w:r w:rsidRPr="00D40DC4">
              <w:rPr>
                <w:rFonts w:cs="Arial"/>
                <w:b/>
                <w:szCs w:val="20"/>
              </w:rPr>
              <w:t>1. év</w:t>
            </w:r>
          </w:p>
        </w:tc>
        <w:tc>
          <w:tcPr>
            <w:tcW w:w="713" w:type="pct"/>
            <w:shd w:val="clear" w:color="auto" w:fill="99CCFF"/>
          </w:tcPr>
          <w:p w:rsidR="00EC5DA3" w:rsidRPr="00D40DC4" w:rsidRDefault="00EC5DA3" w:rsidP="009E0823">
            <w:pPr>
              <w:spacing w:after="0"/>
              <w:jc w:val="center"/>
              <w:rPr>
                <w:rFonts w:cs="Arial"/>
                <w:b/>
                <w:szCs w:val="20"/>
              </w:rPr>
            </w:pPr>
            <w:r w:rsidRPr="00D40DC4">
              <w:rPr>
                <w:rFonts w:cs="Arial"/>
                <w:b/>
                <w:szCs w:val="20"/>
              </w:rPr>
              <w:t>2. év</w:t>
            </w:r>
          </w:p>
        </w:tc>
        <w:tc>
          <w:tcPr>
            <w:tcW w:w="152" w:type="pct"/>
            <w:shd w:val="clear" w:color="auto" w:fill="99CCFF"/>
            <w:noWrap/>
            <w:vAlign w:val="center"/>
          </w:tcPr>
          <w:p w:rsidR="00EC5DA3" w:rsidRPr="00D40DC4" w:rsidRDefault="00EC5DA3" w:rsidP="009E0823">
            <w:pPr>
              <w:spacing w:after="0"/>
              <w:jc w:val="center"/>
              <w:rPr>
                <w:rFonts w:cs="Arial"/>
                <w:b/>
                <w:szCs w:val="20"/>
              </w:rPr>
            </w:pPr>
            <w:r w:rsidRPr="00D40DC4">
              <w:rPr>
                <w:rFonts w:cs="Arial"/>
                <w:b/>
                <w:szCs w:val="20"/>
              </w:rPr>
              <w:t>…</w:t>
            </w:r>
          </w:p>
        </w:tc>
        <w:tc>
          <w:tcPr>
            <w:tcW w:w="725" w:type="pct"/>
            <w:shd w:val="clear" w:color="auto" w:fill="99CCFF"/>
            <w:noWrap/>
            <w:vAlign w:val="bottom"/>
          </w:tcPr>
          <w:p w:rsidR="00EC5DA3" w:rsidRPr="00D40DC4" w:rsidRDefault="00EC5DA3" w:rsidP="009E0823">
            <w:pPr>
              <w:spacing w:after="0"/>
              <w:jc w:val="center"/>
              <w:rPr>
                <w:rFonts w:cs="Arial"/>
                <w:b/>
                <w:szCs w:val="20"/>
              </w:rPr>
            </w:pPr>
            <w:r w:rsidRPr="00D40DC4">
              <w:rPr>
                <w:rFonts w:cs="Arial"/>
                <w:b/>
                <w:szCs w:val="20"/>
              </w:rPr>
              <w:t>n. év</w:t>
            </w: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szCs w:val="20"/>
              </w:rPr>
            </w:pPr>
            <w:r w:rsidRPr="00D40DC4">
              <w:t>Az infrastruktúra használatáért közvetlenül a felhasználókat terhelő díjak</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pPr>
            <w:r w:rsidRPr="00D40DC4">
              <w:t>...</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szCs w:val="20"/>
              </w:rPr>
            </w:pPr>
            <w:r w:rsidRPr="00D40DC4">
              <w:t>A föld vagy az épületek eladásából vagy bérbeadásából származó bevételeket vagy</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pPr>
            <w:r w:rsidRPr="00D40DC4">
              <w:t>...</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pPr>
            <w:r w:rsidRPr="00D40DC4">
              <w:t xml:space="preserve">Egyéb </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pPr>
            <w:r w:rsidRPr="00D40DC4">
              <w:t>...</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b/>
              </w:rPr>
            </w:pPr>
            <w:r w:rsidRPr="00D40DC4">
              <w:rPr>
                <w:b/>
              </w:rPr>
              <w:t>Pénzügyi bevételek (1+2+3)</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szCs w:val="20"/>
              </w:rPr>
            </w:pPr>
            <w:r w:rsidRPr="00D40DC4">
              <w:rPr>
                <w:rFonts w:cs="Arial"/>
                <w:szCs w:val="20"/>
              </w:rPr>
              <w:t>Költségvetési díjkiegészítés</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pPr>
            <w:r w:rsidRPr="00D40DC4">
              <w:t>...</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szCs w:val="20"/>
              </w:rPr>
            </w:pPr>
            <w:r w:rsidRPr="00D40DC4">
              <w:t xml:space="preserve">A szolgáltatásokért a </w:t>
            </w:r>
            <w:r w:rsidRPr="00D40DC4">
              <w:lastRenderedPageBreak/>
              <w:t>közszolgáltatási szerződés szerint kapott ellentételezést</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pP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pPr>
            <w:r w:rsidRPr="00D40DC4">
              <w:rPr>
                <w:rFonts w:cs="Arial"/>
                <w:szCs w:val="20"/>
              </w:rPr>
              <w:t xml:space="preserve">Egyéb </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1"/>
                <w:numId w:val="163"/>
              </w:numPr>
              <w:spacing w:after="0"/>
              <w:contextualSpacing/>
              <w:rPr>
                <w:rFonts w:cs="Arial"/>
                <w:szCs w:val="20"/>
              </w:rPr>
            </w:pP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b/>
                <w:szCs w:val="20"/>
              </w:rPr>
            </w:pPr>
            <w:r w:rsidRPr="00D40DC4">
              <w:rPr>
                <w:rFonts w:cs="Arial"/>
                <w:b/>
                <w:szCs w:val="20"/>
              </w:rPr>
              <w:t>Egyéb bejövő pénzáramok (5+6+7)</w:t>
            </w:r>
          </w:p>
        </w:tc>
        <w:tc>
          <w:tcPr>
            <w:tcW w:w="713" w:type="pct"/>
            <w:shd w:val="clear" w:color="auto" w:fill="auto"/>
            <w:noWrap/>
            <w:vAlign w:val="bottom"/>
          </w:tcPr>
          <w:p w:rsidR="00EC5DA3" w:rsidRPr="00D40DC4" w:rsidRDefault="00EC5DA3" w:rsidP="009E0823">
            <w:pPr>
              <w:spacing w:after="0"/>
              <w:rPr>
                <w:rFonts w:cs="Arial"/>
                <w:szCs w:val="20"/>
              </w:rPr>
            </w:pPr>
          </w:p>
        </w:tc>
        <w:tc>
          <w:tcPr>
            <w:tcW w:w="715" w:type="pct"/>
          </w:tcPr>
          <w:p w:rsidR="00EC5DA3" w:rsidRPr="00D40DC4" w:rsidRDefault="00EC5DA3" w:rsidP="009E0823">
            <w:pPr>
              <w:spacing w:after="0"/>
              <w:rPr>
                <w:rFonts w:cs="Arial"/>
                <w:szCs w:val="20"/>
              </w:rPr>
            </w:pPr>
          </w:p>
        </w:tc>
        <w:tc>
          <w:tcPr>
            <w:tcW w:w="713" w:type="pct"/>
          </w:tcPr>
          <w:p w:rsidR="00EC5DA3" w:rsidRPr="00D40DC4" w:rsidRDefault="00EC5DA3" w:rsidP="009E0823">
            <w:pPr>
              <w:spacing w:after="0"/>
              <w:rPr>
                <w:rFonts w:cs="Arial"/>
                <w:szCs w:val="20"/>
              </w:rPr>
            </w:pPr>
          </w:p>
        </w:tc>
        <w:tc>
          <w:tcPr>
            <w:tcW w:w="152" w:type="pct"/>
            <w:shd w:val="clear" w:color="auto" w:fill="auto"/>
            <w:noWrap/>
            <w:vAlign w:val="bottom"/>
          </w:tcPr>
          <w:p w:rsidR="00EC5DA3" w:rsidRPr="00D40DC4" w:rsidRDefault="00EC5DA3" w:rsidP="009E0823">
            <w:pPr>
              <w:spacing w:after="0"/>
              <w:rPr>
                <w:rFonts w:cs="Arial"/>
                <w:szCs w:val="20"/>
              </w:rPr>
            </w:pPr>
          </w:p>
        </w:tc>
        <w:tc>
          <w:tcPr>
            <w:tcW w:w="725" w:type="pct"/>
            <w:shd w:val="clear" w:color="auto" w:fill="auto"/>
            <w:noWrap/>
            <w:vAlign w:val="bottom"/>
          </w:tcPr>
          <w:p w:rsidR="00EC5DA3" w:rsidRPr="00D40DC4" w:rsidRDefault="00EC5DA3" w:rsidP="009E0823">
            <w:pPr>
              <w:spacing w:after="0"/>
              <w:rPr>
                <w:rFonts w:cs="Arial"/>
                <w:szCs w:val="20"/>
              </w:rPr>
            </w:pPr>
          </w:p>
        </w:tc>
      </w:tr>
      <w:tr w:rsidR="00EC5DA3" w:rsidRPr="00D40DC4" w:rsidTr="009E0823">
        <w:trPr>
          <w:trHeight w:val="255"/>
        </w:trPr>
        <w:tc>
          <w:tcPr>
            <w:tcW w:w="1982" w:type="pct"/>
            <w:shd w:val="clear" w:color="auto" w:fill="auto"/>
            <w:noWrap/>
          </w:tcPr>
          <w:p w:rsidR="00EC5DA3" w:rsidRPr="00D40DC4" w:rsidRDefault="00EC5DA3" w:rsidP="00EC5DA3">
            <w:pPr>
              <w:pStyle w:val="Listaszerbekezds"/>
              <w:numPr>
                <w:ilvl w:val="0"/>
                <w:numId w:val="163"/>
              </w:numPr>
              <w:spacing w:after="0"/>
              <w:contextualSpacing/>
              <w:rPr>
                <w:rFonts w:cs="Arial"/>
                <w:b/>
                <w:szCs w:val="20"/>
              </w:rPr>
            </w:pPr>
            <w:r w:rsidRPr="00D40DC4">
              <w:rPr>
                <w:b/>
              </w:rPr>
              <w:t>Bevételek összesen (4+8)</w:t>
            </w:r>
          </w:p>
        </w:tc>
        <w:tc>
          <w:tcPr>
            <w:tcW w:w="713" w:type="pct"/>
            <w:shd w:val="clear" w:color="auto" w:fill="auto"/>
            <w:noWrap/>
            <w:vAlign w:val="bottom"/>
          </w:tcPr>
          <w:p w:rsidR="00EC5DA3" w:rsidRPr="00D40DC4" w:rsidRDefault="00EC5DA3" w:rsidP="009E0823">
            <w:pPr>
              <w:spacing w:after="0"/>
              <w:rPr>
                <w:rFonts w:cs="Arial"/>
                <w:b/>
                <w:szCs w:val="20"/>
              </w:rPr>
            </w:pPr>
          </w:p>
        </w:tc>
        <w:tc>
          <w:tcPr>
            <w:tcW w:w="715" w:type="pct"/>
          </w:tcPr>
          <w:p w:rsidR="00EC5DA3" w:rsidRPr="00D40DC4" w:rsidRDefault="00EC5DA3" w:rsidP="009E0823">
            <w:pPr>
              <w:spacing w:after="0"/>
              <w:rPr>
                <w:rFonts w:cs="Arial"/>
                <w:b/>
                <w:szCs w:val="20"/>
              </w:rPr>
            </w:pPr>
          </w:p>
        </w:tc>
        <w:tc>
          <w:tcPr>
            <w:tcW w:w="713" w:type="pct"/>
          </w:tcPr>
          <w:p w:rsidR="00EC5DA3" w:rsidRPr="00D40DC4" w:rsidRDefault="00EC5DA3" w:rsidP="009E0823">
            <w:pPr>
              <w:spacing w:after="0"/>
              <w:rPr>
                <w:rFonts w:cs="Arial"/>
                <w:b/>
                <w:szCs w:val="20"/>
              </w:rPr>
            </w:pPr>
          </w:p>
        </w:tc>
        <w:tc>
          <w:tcPr>
            <w:tcW w:w="152" w:type="pct"/>
            <w:shd w:val="clear" w:color="auto" w:fill="auto"/>
            <w:noWrap/>
            <w:vAlign w:val="bottom"/>
          </w:tcPr>
          <w:p w:rsidR="00EC5DA3" w:rsidRPr="00D40DC4" w:rsidRDefault="00EC5DA3" w:rsidP="009E0823">
            <w:pPr>
              <w:spacing w:after="0"/>
              <w:rPr>
                <w:rFonts w:cs="Arial"/>
                <w:b/>
                <w:szCs w:val="20"/>
              </w:rPr>
            </w:pPr>
          </w:p>
        </w:tc>
        <w:tc>
          <w:tcPr>
            <w:tcW w:w="725" w:type="pct"/>
            <w:shd w:val="clear" w:color="auto" w:fill="auto"/>
            <w:noWrap/>
            <w:vAlign w:val="bottom"/>
          </w:tcPr>
          <w:p w:rsidR="00EC5DA3" w:rsidRPr="00D40DC4" w:rsidRDefault="00EC5DA3" w:rsidP="009E0823">
            <w:pPr>
              <w:spacing w:after="0"/>
              <w:rPr>
                <w:rFonts w:cs="Arial"/>
                <w:b/>
                <w:szCs w:val="20"/>
              </w:rPr>
            </w:pPr>
          </w:p>
        </w:tc>
      </w:tr>
    </w:tbl>
    <w:p w:rsidR="00EC5DA3" w:rsidRPr="00D40DC4" w:rsidRDefault="00EC5DA3" w:rsidP="002314F2">
      <w:pPr>
        <w:pStyle w:val="Tblzat"/>
        <w:rPr>
          <w:noProof/>
        </w:rPr>
      </w:pPr>
    </w:p>
    <w:p w:rsidR="00322396" w:rsidRPr="00D40DC4" w:rsidRDefault="00322396" w:rsidP="00DD7E6C">
      <w:pPr>
        <w:pStyle w:val="Cmsor3"/>
      </w:pPr>
      <w:bookmarkStart w:id="535" w:name="_Toc428430532"/>
      <w:bookmarkStart w:id="536" w:name="_Toc428431496"/>
      <w:bookmarkStart w:id="537" w:name="_Toc428636076"/>
      <w:bookmarkStart w:id="538" w:name="_Toc428771653"/>
      <w:bookmarkStart w:id="539" w:name="_Toc428430562"/>
      <w:bookmarkStart w:id="540" w:name="_Toc428431526"/>
      <w:bookmarkStart w:id="541" w:name="_Toc428636106"/>
      <w:bookmarkStart w:id="542" w:name="_Toc428771683"/>
      <w:bookmarkStart w:id="543" w:name="_Toc428430564"/>
      <w:bookmarkStart w:id="544" w:name="_Toc428431528"/>
      <w:bookmarkStart w:id="545" w:name="_Toc428636108"/>
      <w:bookmarkStart w:id="546" w:name="_Toc428771685"/>
      <w:bookmarkStart w:id="547" w:name="_Toc163364461"/>
      <w:bookmarkStart w:id="548" w:name="_Toc163414444"/>
      <w:bookmarkStart w:id="549" w:name="_Toc428430594"/>
      <w:bookmarkStart w:id="550" w:name="_Toc428431558"/>
      <w:bookmarkStart w:id="551" w:name="_Toc428430660"/>
      <w:bookmarkStart w:id="552" w:name="_Toc428431624"/>
      <w:bookmarkStart w:id="553" w:name="_Toc428636204"/>
      <w:bookmarkStart w:id="554" w:name="_Toc428771781"/>
      <w:bookmarkStart w:id="555" w:name="_Toc428430724"/>
      <w:bookmarkStart w:id="556" w:name="_Toc428431688"/>
      <w:bookmarkStart w:id="557" w:name="_Toc428636268"/>
      <w:bookmarkStart w:id="558" w:name="_Toc428771845"/>
      <w:bookmarkStart w:id="559" w:name="_Toc177825056"/>
      <w:bookmarkStart w:id="560" w:name="_Toc241657531"/>
      <w:bookmarkStart w:id="561" w:name="_Toc228260753"/>
      <w:bookmarkStart w:id="562" w:name="_Ref428192208"/>
      <w:bookmarkStart w:id="563" w:name="_Ref428258331"/>
      <w:bookmarkStart w:id="564" w:name="_Toc436923901"/>
      <w:bookmarkEnd w:id="483"/>
      <w:bookmarkEnd w:id="484"/>
      <w:bookmarkEnd w:id="485"/>
      <w:bookmarkEnd w:id="486"/>
      <w:bookmarkEnd w:id="487"/>
      <w:bookmarkEnd w:id="488"/>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D40DC4">
        <w:t>Teherviselő képességi vizsgálatok (affordability)</w:t>
      </w:r>
      <w:bookmarkEnd w:id="559"/>
      <w:bookmarkEnd w:id="560"/>
      <w:bookmarkEnd w:id="561"/>
      <w:bookmarkEnd w:id="562"/>
      <w:bookmarkEnd w:id="563"/>
      <w:bookmarkEnd w:id="564"/>
    </w:p>
    <w:p w:rsidR="007B7A04" w:rsidRPr="00D40DC4" w:rsidRDefault="007B7A04" w:rsidP="007B7A04">
      <w:r w:rsidRPr="00D40DC4">
        <w:t>Az infrastrukturális projektek bevételeinek tervezésénél figyelembe kell venni, hogy a háztartások teherviselő képessége</w:t>
      </w:r>
      <w:r w:rsidRPr="00D40DC4">
        <w:rPr>
          <w:vertAlign w:val="superscript"/>
        </w:rPr>
        <w:footnoteReference w:id="11"/>
      </w:r>
      <w:r w:rsidRPr="00D40DC4">
        <w:rPr>
          <w:vertAlign w:val="superscript"/>
        </w:rPr>
        <w:t xml:space="preserve"> </w:t>
      </w:r>
      <w:r w:rsidRPr="00D40DC4">
        <w:t xml:space="preserve">általában behatárolt. Mivel a háztartások rendelkezésére álló jövedelmek között jelentős szórás van, külön vizsgálni kell az alsó jövedelemkategóriába tartozó háztartások terheinek alakulását. </w:t>
      </w:r>
    </w:p>
    <w:p w:rsidR="007B7A04" w:rsidRPr="00D40DC4" w:rsidRDefault="007B7A04" w:rsidP="007B7A04">
      <w:r w:rsidRPr="00D40DC4">
        <w:t>A pénzügyi elemzésnek ki kell terjednie arra, hogy a projekt által érintett térségben jelenleg hogyan aránylik a díjfizetés mértéke a jövedelemhez, és a projekt megvalósítása hogyan befolyásolja ennek változását.</w:t>
      </w:r>
    </w:p>
    <w:p w:rsidR="007B7A04" w:rsidRPr="00D40DC4" w:rsidRDefault="007B7A04" w:rsidP="007B7A04">
      <w:r w:rsidRPr="00D40DC4">
        <w:t xml:space="preserve">A lehetséges technikai változatok és a célul kitűzött szolgáltatási színvonal határozzák meg az infrastruktúrával és a szolgáltatási színvonallal kapcsolatban az első választási lehetősége(ke)t. </w:t>
      </w:r>
    </w:p>
    <w:p w:rsidR="007B7A04" w:rsidRPr="00D40DC4" w:rsidRDefault="007B7A04" w:rsidP="007B7A04">
      <w:pPr>
        <w:rPr>
          <w:color w:val="993300"/>
        </w:rPr>
      </w:pPr>
      <w:r w:rsidRPr="00D40DC4">
        <w:rPr>
          <w:b/>
        </w:rPr>
        <w:t>Az integrált megközelítésben az a technikai változatok kiválasztásának szakasza nem zárul le, hanem a keresletelemzésből illetve a politikai elfogadottság mérése eredményei alapján felülvizsgálatra kerülnek</w:t>
      </w:r>
      <w:r w:rsidRPr="00D40DC4">
        <w:t>.</w:t>
      </w:r>
      <w:r w:rsidRPr="00D40DC4">
        <w:rPr>
          <w:color w:val="993300"/>
        </w:rPr>
        <w:t xml:space="preserve"> </w:t>
      </w:r>
      <w:r w:rsidRPr="00D40DC4">
        <w:t>A keresletelemzésből származó eredmények már az első lépéseknél figyelembe vehetőek.</w:t>
      </w:r>
    </w:p>
    <w:p w:rsidR="00322396" w:rsidRPr="00D40DC4" w:rsidRDefault="00322396" w:rsidP="00DD7E6C">
      <w:pPr>
        <w:pStyle w:val="Cmsor2"/>
      </w:pPr>
      <w:bookmarkStart w:id="565" w:name="_Toc223856916"/>
      <w:bookmarkStart w:id="566" w:name="_Toc223877276"/>
      <w:bookmarkStart w:id="567" w:name="_Toc177825057"/>
      <w:bookmarkStart w:id="568" w:name="_Toc241657532"/>
      <w:bookmarkStart w:id="569" w:name="_Toc228260754"/>
      <w:bookmarkStart w:id="570" w:name="_Ref428192233"/>
      <w:bookmarkStart w:id="571" w:name="_Ref428258429"/>
      <w:bookmarkStart w:id="572" w:name="_Toc436923902"/>
      <w:bookmarkEnd w:id="565"/>
      <w:bookmarkEnd w:id="566"/>
      <w:r w:rsidRPr="00D40DC4">
        <w:t xml:space="preserve">A projekt pénzügyi </w:t>
      </w:r>
      <w:bookmarkEnd w:id="567"/>
      <w:bookmarkEnd w:id="568"/>
      <w:bookmarkEnd w:id="569"/>
      <w:bookmarkEnd w:id="570"/>
      <w:bookmarkEnd w:id="571"/>
      <w:r w:rsidR="00274AF2" w:rsidRPr="00D40DC4">
        <w:t>megtérülése</w:t>
      </w:r>
      <w:bookmarkEnd w:id="572"/>
      <w:r w:rsidR="00274AF2" w:rsidRPr="00D40DC4">
        <w:t xml:space="preserve"> </w:t>
      </w:r>
    </w:p>
    <w:p w:rsidR="00322396" w:rsidRPr="00D40DC4" w:rsidRDefault="00322396" w:rsidP="00221929">
      <w:pPr>
        <w:rPr>
          <w:rFonts w:cs="Arial"/>
        </w:rPr>
      </w:pPr>
      <w:r w:rsidRPr="00D40DC4">
        <w:rPr>
          <w:rFonts w:cs="Arial"/>
        </w:rPr>
        <w:t>A pénzügyi megtérülés legfontosabb mutatószámai:</w:t>
      </w:r>
    </w:p>
    <w:p w:rsidR="00322396" w:rsidRPr="00D40DC4" w:rsidRDefault="00751413" w:rsidP="006C5A6D">
      <w:pPr>
        <w:numPr>
          <w:ilvl w:val="0"/>
          <w:numId w:val="14"/>
        </w:numPr>
      </w:pPr>
      <w:r w:rsidRPr="00D40DC4">
        <w:t>A pénzügyi nettó jelenérték (FNPV) a projekt (diszkontált) várható beruházási, illetve működési költségeinek és a várható bevételek diszkontált értékének különbözete.</w:t>
      </w:r>
    </w:p>
    <w:p w:rsidR="00322396" w:rsidRPr="00D40DC4" w:rsidRDefault="00322396" w:rsidP="007B7A04">
      <w:pPr>
        <w:ind w:left="709"/>
        <w:rPr>
          <w:rFonts w:cs="Arial"/>
        </w:rPr>
      </w:pPr>
      <w:r w:rsidRPr="00D40DC4">
        <w:rPr>
          <w:rFonts w:cs="Arial"/>
        </w:rPr>
        <w:t>A számítás képlete:</w:t>
      </w:r>
    </w:p>
    <w:p w:rsidR="00322396" w:rsidRPr="00D40DC4" w:rsidRDefault="00322396" w:rsidP="007B7A04">
      <w:pPr>
        <w:ind w:left="709"/>
        <w:rPr>
          <w:rFonts w:cs="Arial"/>
          <w:sz w:val="16"/>
          <w:szCs w:val="16"/>
        </w:rPr>
      </w:pPr>
      <w:r w:rsidRPr="00D40DC4">
        <w:rPr>
          <w:rFonts w:cs="Arial"/>
        </w:rPr>
        <w:object w:dxaOrig="2280" w:dyaOrig="680" w14:anchorId="0B1D1A9A">
          <v:shape id="_x0000_i1030" type="#_x0000_t75" style="width:116.25pt;height:36.75pt" o:ole="">
            <v:imagedata r:id="rId22" o:title=""/>
          </v:shape>
          <o:OLEObject Type="Embed" ProgID="Equation.3" ShapeID="_x0000_i1030" DrawAspect="Content" ObjectID="_1587988194" r:id="rId23"/>
        </w:object>
      </w:r>
    </w:p>
    <w:p w:rsidR="00322396" w:rsidRPr="00D40DC4" w:rsidRDefault="00322396" w:rsidP="007B7A04">
      <w:pPr>
        <w:ind w:left="709"/>
        <w:rPr>
          <w:rFonts w:cs="Arial"/>
          <w:vertAlign w:val="superscript"/>
        </w:rPr>
      </w:pPr>
      <w:r w:rsidRPr="00D40DC4">
        <w:rPr>
          <w:rFonts w:cs="Arial"/>
        </w:rPr>
        <w:t xml:space="preserve">ahol (X) az adott évre vonatkozó pénzáramlás, (i) a </w:t>
      </w:r>
      <w:r w:rsidR="0027489C" w:rsidRPr="00D40DC4">
        <w:rPr>
          <w:rFonts w:cs="Arial"/>
        </w:rPr>
        <w:t xml:space="preserve">pénzügyi </w:t>
      </w:r>
      <w:r w:rsidRPr="00D40DC4">
        <w:rPr>
          <w:rFonts w:cs="Arial"/>
        </w:rPr>
        <w:t>diszkontráta és (t) az aktuális év</w:t>
      </w:r>
    </w:p>
    <w:p w:rsidR="00322396" w:rsidRPr="00D40DC4" w:rsidRDefault="00322396" w:rsidP="00221929">
      <w:pPr>
        <w:rPr>
          <w:rFonts w:cs="Arial"/>
        </w:rPr>
      </w:pPr>
    </w:p>
    <w:p w:rsidR="00322396" w:rsidRPr="00D40DC4" w:rsidRDefault="00322396" w:rsidP="006C5A6D">
      <w:pPr>
        <w:numPr>
          <w:ilvl w:val="0"/>
          <w:numId w:val="14"/>
        </w:numPr>
      </w:pPr>
      <w:r w:rsidRPr="00D40DC4">
        <w:t>FRR (pénzügyi belső megtérülési ráta): Azt a diszkontrátát fejezi ki, amelynél az FNPV=0. (A projekt akkor támogatható, ha az FRR alacsonyabb</w:t>
      </w:r>
      <w:r w:rsidR="0027489C" w:rsidRPr="00D40DC4">
        <w:t>,</w:t>
      </w:r>
      <w:r w:rsidRPr="00D40DC4">
        <w:t xml:space="preserve"> mint az alkalmazott pénzügyi diszkontráta, lásd </w:t>
      </w:r>
      <w:r w:rsidR="0027489C" w:rsidRPr="00D40DC4">
        <w:fldChar w:fldCharType="begin"/>
      </w:r>
      <w:r w:rsidR="0027489C" w:rsidRPr="00D40DC4">
        <w:instrText xml:space="preserve"> REF _Ref428371339 \r \h </w:instrText>
      </w:r>
      <w:r w:rsidR="00D40DC4">
        <w:instrText xml:space="preserve"> \* MERGEFORMAT </w:instrText>
      </w:r>
      <w:r w:rsidR="0027489C" w:rsidRPr="00D40DC4">
        <w:fldChar w:fldCharType="separate"/>
      </w:r>
      <w:r w:rsidR="007B4938" w:rsidRPr="00D40DC4">
        <w:t>4.5.1</w:t>
      </w:r>
      <w:r w:rsidR="0027489C" w:rsidRPr="00D40DC4">
        <w:fldChar w:fldCharType="end"/>
      </w:r>
      <w:r w:rsidRPr="00D40DC4">
        <w:t xml:space="preserve">. </w:t>
      </w:r>
      <w:r w:rsidR="0027489C" w:rsidRPr="00D40DC4">
        <w:t>fejezet</w:t>
      </w:r>
      <w:r w:rsidRPr="00D40DC4">
        <w:t>)</w:t>
      </w:r>
    </w:p>
    <w:p w:rsidR="00322396" w:rsidRPr="00D40DC4" w:rsidRDefault="00322396" w:rsidP="007B7A04">
      <w:pPr>
        <w:ind w:left="709"/>
        <w:rPr>
          <w:rFonts w:cs="Arial"/>
        </w:rPr>
      </w:pPr>
      <w:r w:rsidRPr="00D40DC4">
        <w:rPr>
          <w:rFonts w:cs="Arial"/>
        </w:rPr>
        <w:t>Az FRR számításához ugyanaz a képlet használható, azzal a különbséggel, hogy adott az FNPV nagysága (zérus), és a kamatlábat keressük.</w:t>
      </w:r>
    </w:p>
    <w:p w:rsidR="00322396" w:rsidRPr="00D40DC4" w:rsidRDefault="00322396" w:rsidP="007B7A04">
      <w:pPr>
        <w:ind w:left="709"/>
        <w:rPr>
          <w:rFonts w:cs="Arial"/>
        </w:rPr>
      </w:pPr>
      <w:r w:rsidRPr="00D40DC4">
        <w:rPr>
          <w:rFonts w:cs="Arial"/>
        </w:rPr>
        <w:t xml:space="preserve">Ha </w:t>
      </w:r>
      <w:r w:rsidRPr="00D40DC4">
        <w:rPr>
          <w:rFonts w:cs="Arial"/>
          <w:position w:val="-28"/>
        </w:rPr>
        <w:object w:dxaOrig="2640" w:dyaOrig="680" w14:anchorId="76923572">
          <v:shape id="_x0000_i1031" type="#_x0000_t75" style="width:131.25pt;height:36.75pt" o:ole="">
            <v:imagedata r:id="rId24" o:title=""/>
          </v:shape>
          <o:OLEObject Type="Embed" ProgID="Equation.3" ShapeID="_x0000_i1031" DrawAspect="Content" ObjectID="_1587988195" r:id="rId25"/>
        </w:object>
      </w:r>
      <w:r w:rsidRPr="00D40DC4">
        <w:rPr>
          <w:rFonts w:cs="Arial"/>
        </w:rPr>
        <w:t>, akkor i= FRR.</w:t>
      </w:r>
    </w:p>
    <w:p w:rsidR="00322396" w:rsidRPr="00D40DC4" w:rsidRDefault="00322396" w:rsidP="00DD7E6C">
      <w:pPr>
        <w:pStyle w:val="Cmsor3"/>
      </w:pPr>
      <w:bookmarkStart w:id="573" w:name="_Toc222652626"/>
      <w:bookmarkStart w:id="574" w:name="_Toc222652800"/>
      <w:bookmarkStart w:id="575" w:name="_Toc222652872"/>
      <w:bookmarkStart w:id="576" w:name="_Toc222653919"/>
      <w:bookmarkStart w:id="577" w:name="_Toc222653991"/>
      <w:bookmarkStart w:id="578" w:name="_Toc222654065"/>
      <w:bookmarkStart w:id="579" w:name="_Toc222654137"/>
      <w:bookmarkStart w:id="580" w:name="_Toc222730518"/>
      <w:bookmarkStart w:id="581" w:name="_Toc222734778"/>
      <w:bookmarkStart w:id="582" w:name="_Toc222741579"/>
      <w:bookmarkStart w:id="583" w:name="_Toc223751381"/>
      <w:bookmarkStart w:id="584" w:name="_Toc223751864"/>
      <w:bookmarkStart w:id="585" w:name="_Toc223856918"/>
      <w:bookmarkStart w:id="586" w:name="_Toc223877278"/>
      <w:bookmarkStart w:id="587" w:name="_Toc177825058"/>
      <w:bookmarkStart w:id="588" w:name="_Toc241657533"/>
      <w:bookmarkStart w:id="589" w:name="_Toc228260755"/>
      <w:bookmarkStart w:id="590" w:name="_Toc436923903"/>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sidRPr="00D40DC4">
        <w:lastRenderedPageBreak/>
        <w:t>EU-támogatás nélküli esetben</w:t>
      </w:r>
      <w:bookmarkEnd w:id="587"/>
      <w:bookmarkEnd w:id="588"/>
      <w:bookmarkEnd w:id="589"/>
      <w:bookmarkEnd w:id="590"/>
    </w:p>
    <w:p w:rsidR="00751413" w:rsidRPr="00D40DC4" w:rsidRDefault="00751413" w:rsidP="00751413">
      <w:r w:rsidRPr="00D40DC4">
        <w:t xml:space="preserve">Az egyes beruházások pénzügyi nyereségességének vizsgálata során a beruházás pénzügyi nettó jelenértékét és pénzügyi megtérülési rátáját (FNPV(C) és FRR(C)) becsülik meg. Ezek a mutatók a beruházási költségeket a nettó bevételekhez </w:t>
      </w:r>
      <w:r w:rsidR="00DB077D" w:rsidRPr="00D40DC4">
        <w:t>viszonyítják,</w:t>
      </w:r>
      <w:r w:rsidRPr="00D40DC4">
        <w:t xml:space="preserve"> és azt mérik, hogy a projekt nettó bevétele mennyire tudja visszatermelni finanszírozási forrástól függetlenül a befektetett összeget. Az FNPV(C) számítása során a fizetett kamatokat nem veszik figyelembe. </w:t>
      </w:r>
    </w:p>
    <w:p w:rsidR="007B7A04" w:rsidRPr="00D40DC4" w:rsidRDefault="007B7A04" w:rsidP="007B7A04">
      <w:pPr>
        <w:rPr>
          <w:rFonts w:cs="Arial"/>
        </w:rPr>
      </w:pPr>
      <w:r w:rsidRPr="00D40DC4">
        <w:rPr>
          <w:rFonts w:cs="Arial"/>
        </w:rPr>
        <w:t>A Kohéziós politika keretén belül</w:t>
      </w:r>
      <w:r w:rsidR="0027489C" w:rsidRPr="00D40DC4">
        <w:rPr>
          <w:rFonts w:cs="Arial"/>
        </w:rPr>
        <w:t xml:space="preserve">– egyéb vonatkozó feltételek teljesülése mellett – </w:t>
      </w:r>
      <w:r w:rsidRPr="00D40DC4">
        <w:rPr>
          <w:rFonts w:cs="Arial"/>
        </w:rPr>
        <w:t xml:space="preserve">a projekt abban az esetben részesülhet EU </w:t>
      </w:r>
      <w:r w:rsidR="0027489C" w:rsidRPr="00D40DC4">
        <w:rPr>
          <w:rFonts w:cs="Arial"/>
        </w:rPr>
        <w:t>támogatásban</w:t>
      </w:r>
      <w:r w:rsidRPr="00D40DC4">
        <w:rPr>
          <w:rFonts w:cs="Arial"/>
        </w:rPr>
        <w:t>, ha az FNPV(C)&lt;0, kivéve</w:t>
      </w:r>
      <w:r w:rsidR="0027489C" w:rsidRPr="00D40DC4">
        <w:rPr>
          <w:rFonts w:cs="Arial"/>
        </w:rPr>
        <w:t>,</w:t>
      </w:r>
      <w:r w:rsidRPr="00D40DC4">
        <w:rPr>
          <w:rFonts w:cs="Arial"/>
        </w:rPr>
        <w:t xml:space="preserve"> ha a projekt az állami támogatás szabálya alá esik.</w:t>
      </w:r>
    </w:p>
    <w:p w:rsidR="00751413" w:rsidRPr="00D40DC4" w:rsidRDefault="00751413" w:rsidP="007B7A04">
      <w:pPr>
        <w:rPr>
          <w:rFonts w:cs="Arial"/>
        </w:rPr>
      </w:pPr>
      <w:r w:rsidRPr="00D40DC4">
        <w:t>Ha egy projekt pénzügyi nyereségessége magas (vagyis az FRR(C) mutató a pénzügyi diszkontrátánál lényegesen magasabb), a projektet általános szabályként úgy kezelik, mint amely uniós hozzájárulás nélkül is megvalósítható. Az uniós támogatás kizárólag abban az esetben indokolt, ha igazolják, hogy a beruházás önállóan nem térülne meg, figyelembe véve, hogy előfordulhat, hogy a befektető által a projekt – pl. nagyon innovatív projektek – megvalósítása során vállalt kockázat túl magas ahhoz, hogy a beruházás közpénzből nyújtott vissza nem térítendő támogatás nélkül megvalósítható legyen.</w:t>
      </w:r>
    </w:p>
    <w:p w:rsidR="00322396" w:rsidRPr="00D40DC4" w:rsidRDefault="00322396" w:rsidP="00221929">
      <w:pPr>
        <w:rPr>
          <w:rFonts w:cs="Arial"/>
        </w:rPr>
      </w:pPr>
      <w:r w:rsidRPr="00D40DC4">
        <w:rPr>
          <w:rFonts w:cs="Arial"/>
        </w:rPr>
        <w:t>A tőkét és jövedelmet érintő illetve egyéb közvetlen adókat nem kell figyelembe venni az FNPV(C) számításánál.</w:t>
      </w:r>
    </w:p>
    <w:p w:rsidR="007740C5" w:rsidRPr="00D40DC4" w:rsidRDefault="002C4DE0" w:rsidP="002314F2">
      <w:pPr>
        <w:pStyle w:val="Tblzat"/>
      </w:pPr>
      <w:r>
        <w:fldChar w:fldCharType="begin"/>
      </w:r>
      <w:r>
        <w:instrText xml:space="preserve"> SEQ táblázat \* ARABIC </w:instrText>
      </w:r>
      <w:r>
        <w:fldChar w:fldCharType="separate"/>
      </w:r>
      <w:bookmarkStart w:id="591" w:name="_Toc428557404"/>
      <w:bookmarkStart w:id="592" w:name="_Toc436923952"/>
      <w:r w:rsidR="007B4938" w:rsidRPr="00D40DC4">
        <w:rPr>
          <w:noProof/>
        </w:rPr>
        <w:t>19</w:t>
      </w:r>
      <w:r>
        <w:rPr>
          <w:noProof/>
        </w:rPr>
        <w:fldChar w:fldCharType="end"/>
      </w:r>
      <w:r w:rsidR="007740C5" w:rsidRPr="00D40DC4">
        <w:t xml:space="preserve">. táblázat: A beruházás megtérülési számítása </w:t>
      </w:r>
      <w:r w:rsidR="007740C5" w:rsidRPr="00D40DC4">
        <w:rPr>
          <w:noProof/>
        </w:rPr>
        <w:t>(Ft, különbözet)</w:t>
      </w:r>
      <w:bookmarkEnd w:id="591"/>
      <w:bookmarkEnd w:id="5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4"/>
        <w:gridCol w:w="1275"/>
        <w:gridCol w:w="1275"/>
        <w:gridCol w:w="1275"/>
        <w:gridCol w:w="348"/>
        <w:gridCol w:w="1275"/>
      </w:tblGrid>
      <w:tr w:rsidR="007740C5" w:rsidRPr="00D40DC4" w:rsidTr="00EE10BE">
        <w:trPr>
          <w:trHeight w:val="255"/>
          <w:tblHeader/>
        </w:trPr>
        <w:tc>
          <w:tcPr>
            <w:tcW w:w="2043"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692"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FPV</w:t>
            </w:r>
          </w:p>
        </w:tc>
        <w:tc>
          <w:tcPr>
            <w:tcW w:w="692" w:type="pct"/>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692"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89"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692"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 xml:space="preserve">Pénzügyi beruházási költség </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Pénzügyi működési költség</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Kiadási pénzáram (1+2)</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Pénzügyi bevétel</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Bevételi pénzáram</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Pénzügyi maradványérték</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2"/>
              </w:numPr>
              <w:rPr>
                <w:szCs w:val="20"/>
              </w:rPr>
            </w:pPr>
            <w:r w:rsidRPr="00D40DC4">
              <w:t>Nettó összes pénzügyi pénzáram (5+6-3)</w:t>
            </w: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vAlign w:val="bottom"/>
          </w:tcPr>
          <w:p w:rsidR="007740C5" w:rsidRPr="00D40DC4" w:rsidRDefault="007740C5" w:rsidP="00EE10BE">
            <w:pPr>
              <w:spacing w:after="0"/>
              <w:rPr>
                <w:rFonts w:cs="Arial"/>
                <w:b/>
                <w:szCs w:val="20"/>
              </w:rPr>
            </w:pPr>
          </w:p>
        </w:tc>
        <w:tc>
          <w:tcPr>
            <w:tcW w:w="692" w:type="pct"/>
            <w:tcBorders>
              <w:bottom w:val="single" w:sz="4" w:space="0" w:color="auto"/>
            </w:tcBorders>
          </w:tcPr>
          <w:p w:rsidR="007740C5" w:rsidRPr="00D40DC4" w:rsidRDefault="007740C5" w:rsidP="00EE10BE">
            <w:pPr>
              <w:spacing w:after="0"/>
              <w:rPr>
                <w:rFonts w:cs="Arial"/>
                <w:b/>
                <w:szCs w:val="20"/>
              </w:rPr>
            </w:pPr>
          </w:p>
        </w:tc>
        <w:tc>
          <w:tcPr>
            <w:tcW w:w="189"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nettó jelenérték (FNPV(C))</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tcPr>
          <w:p w:rsidR="007740C5" w:rsidRPr="00D40DC4" w:rsidRDefault="007740C5" w:rsidP="00EE10BE">
            <w:pPr>
              <w:spacing w:after="0"/>
              <w:rPr>
                <w:rFonts w:cs="Arial"/>
                <w:b/>
                <w:szCs w:val="20"/>
              </w:rPr>
            </w:pPr>
          </w:p>
        </w:tc>
        <w:tc>
          <w:tcPr>
            <w:tcW w:w="189"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belső megtérülési ráta (FRR(C))</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tcPr>
          <w:p w:rsidR="007740C5" w:rsidRPr="00D40DC4" w:rsidRDefault="007740C5" w:rsidP="00EE10BE">
            <w:pPr>
              <w:spacing w:after="0"/>
              <w:rPr>
                <w:rFonts w:cs="Arial"/>
                <w:b/>
                <w:szCs w:val="20"/>
              </w:rPr>
            </w:pPr>
          </w:p>
        </w:tc>
        <w:tc>
          <w:tcPr>
            <w:tcW w:w="189"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221929">
      <w:pPr>
        <w:rPr>
          <w:rFonts w:cs="Arial"/>
        </w:rPr>
      </w:pPr>
    </w:p>
    <w:p w:rsidR="004226B0" w:rsidRPr="00D40DC4" w:rsidRDefault="004226B0">
      <w:pPr>
        <w:spacing w:after="160" w:line="259" w:lineRule="auto"/>
        <w:jc w:val="left"/>
        <w:rPr>
          <w:rFonts w:eastAsia="Times New Roman" w:cs="Arial"/>
          <w:b/>
          <w:sz w:val="24"/>
          <w:szCs w:val="24"/>
          <w:lang w:val="x-none" w:eastAsia="x-none"/>
        </w:rPr>
      </w:pPr>
      <w:bookmarkStart w:id="593" w:name="_Toc428430792"/>
      <w:bookmarkStart w:id="594" w:name="_Toc428431756"/>
      <w:bookmarkStart w:id="595" w:name="_Toc428636336"/>
      <w:bookmarkStart w:id="596" w:name="_Toc428771913"/>
      <w:bookmarkStart w:id="597" w:name="_Toc177825059"/>
      <w:bookmarkStart w:id="598" w:name="_Toc241657534"/>
      <w:bookmarkStart w:id="599" w:name="_Toc228260756"/>
      <w:bookmarkEnd w:id="593"/>
      <w:bookmarkEnd w:id="594"/>
      <w:bookmarkEnd w:id="595"/>
      <w:bookmarkEnd w:id="596"/>
      <w:r w:rsidRPr="00D40DC4">
        <w:br w:type="page"/>
      </w:r>
    </w:p>
    <w:p w:rsidR="00322396" w:rsidRPr="00D40DC4" w:rsidRDefault="00322396" w:rsidP="00DD7E6C">
      <w:pPr>
        <w:pStyle w:val="Cmsor3"/>
      </w:pPr>
      <w:bookmarkStart w:id="600" w:name="_Toc436923904"/>
      <w:r w:rsidRPr="00D40DC4">
        <w:lastRenderedPageBreak/>
        <w:t>Befektetett tőke megtérülése</w:t>
      </w:r>
      <w:bookmarkEnd w:id="597"/>
      <w:bookmarkEnd w:id="598"/>
      <w:bookmarkEnd w:id="599"/>
      <w:bookmarkEnd w:id="600"/>
    </w:p>
    <w:p w:rsidR="00751413" w:rsidRPr="00D40DC4" w:rsidRDefault="00751413" w:rsidP="00751413">
      <w:r w:rsidRPr="00D40DC4">
        <w:t>A nemzeti tőke pénzügyi nyereségességének vizsgálata során a tőke pénzügyi nettó jelenértékét és pénzügyi megtérülési rátáját (FNPV(K) és FRR(K)) becsülik meg. Ezek a mutatók azt mérik, hogy a projekt nettó bevétele mennyire tudja visszatermelni a nemzeti finanszírozásból (magán- és közfinanszírozás) nyújtott pénzügyi forrásokat.</w:t>
      </w:r>
    </w:p>
    <w:p w:rsidR="0066014B" w:rsidRPr="00D40DC4" w:rsidRDefault="00751413" w:rsidP="00751413">
      <w:r w:rsidRPr="00D40DC4">
        <w:t xml:space="preserve">Az FNPV(K) és FRR(K) számításához arra van szükség, hogy: </w:t>
      </w:r>
    </w:p>
    <w:p w:rsidR="0066014B" w:rsidRPr="00D40DC4" w:rsidRDefault="00751413" w:rsidP="008E60FC">
      <w:r w:rsidRPr="00D40DC4">
        <w:t xml:space="preserve">a projektbe befektetett (uniós támogatás nélkül számított) pénzügyi forrásokat a beruházási költségeket figyelmen kívül hagyva kimenő pénzáramként kezeljék; </w:t>
      </w:r>
    </w:p>
    <w:p w:rsidR="0066014B" w:rsidRPr="00D40DC4" w:rsidRDefault="00751413" w:rsidP="008E60FC">
      <w:r w:rsidRPr="00D40DC4">
        <w:t xml:space="preserve">a tőkehozzájárulásokat akkor vegyék figyelembe, amikor azokat a projekttel kapcsolatban ténylegesen kifizetik, illetve (kölcsön esetén) visszatérítik; </w:t>
      </w:r>
    </w:p>
    <w:p w:rsidR="0066014B" w:rsidRPr="00D40DC4" w:rsidRDefault="00751413" w:rsidP="008E60FC">
      <w:r w:rsidRPr="00D40DC4">
        <w:t xml:space="preserve">a kifizetett kamatok szerepeljenek a tőkemegtérülési ráta (FNPV(K)) elemzésére vonatkozó táblázatban; </w:t>
      </w:r>
    </w:p>
    <w:p w:rsidR="0066014B" w:rsidRPr="00D40DC4" w:rsidRDefault="00751413" w:rsidP="008E60FC">
      <w:r w:rsidRPr="00D40DC4">
        <w:t xml:space="preserve">a működési támogatások ne szerepeljenek a tőkemegtérülési ráta (FNPV(K)) elemzésére vonatkozó táblázatban; </w:t>
      </w:r>
    </w:p>
    <w:p w:rsidR="00751413" w:rsidRPr="00D40DC4" w:rsidRDefault="00751413" w:rsidP="00751413">
      <w:r w:rsidRPr="00D40DC4">
        <w:t>Ahhoz, hogy egy projekthez az alapokból támogatást lehessen igényelni</w:t>
      </w:r>
      <w:r w:rsidR="0066014B" w:rsidRPr="00D40DC4">
        <w:t>,</w:t>
      </w:r>
      <w:r w:rsidRPr="00D40DC4">
        <w:t xml:space="preserve"> az uniós támogatást tartalmazó FNPV(K)-nak negatívnak vagy nullának, az FRR(K)-nak pedig a diszkontrátánál alacsonyabbnak vagy azzal megegyezőnek kell lennie</w:t>
      </w:r>
      <w:r w:rsidR="0066014B" w:rsidRPr="00D40DC4">
        <w:t>;</w:t>
      </w:r>
      <w:r w:rsidRPr="00D40DC4">
        <w:t xml:space="preserve"> ellenkező esetben a támogatási igényt megfelelően indokolni kell. </w:t>
      </w:r>
    </w:p>
    <w:p w:rsidR="00322396" w:rsidRPr="00D40DC4" w:rsidRDefault="00322396" w:rsidP="00221929">
      <w:pPr>
        <w:rPr>
          <w:rFonts w:cs="Arial"/>
        </w:rPr>
      </w:pPr>
      <w:r w:rsidRPr="00D40DC4">
        <w:rPr>
          <w:rFonts w:cs="Arial"/>
        </w:rPr>
        <w:t>A tőkebefektetés történhet magánforrásból vagy állami költségvetésből. Ennek nagysága megegyezik a beruházási költségekből az EU támogatással és a hitellel le nem fedett résszel. Ebben az esetben viszont a hiteltörlesztést is a költségek között kell kimutatni.</w:t>
      </w:r>
    </w:p>
    <w:p w:rsidR="00322396" w:rsidRPr="00D40DC4" w:rsidRDefault="00322396" w:rsidP="00221929">
      <w:pPr>
        <w:rPr>
          <w:rFonts w:cs="Arial"/>
        </w:rPr>
      </w:pPr>
      <w:r w:rsidRPr="00D40DC4">
        <w:rPr>
          <w:rFonts w:cs="Arial"/>
        </w:rPr>
        <w:t xml:space="preserve">Az EU </w:t>
      </w:r>
      <w:r w:rsidR="0066014B" w:rsidRPr="00D40DC4">
        <w:rPr>
          <w:rFonts w:cs="Arial"/>
        </w:rPr>
        <w:t>Útmutató</w:t>
      </w:r>
      <w:r w:rsidRPr="00D40DC4">
        <w:rPr>
          <w:rFonts w:cs="Arial"/>
        </w:rPr>
        <w:t xml:space="preserve"> szerint a hitelkamat figyelembe veendő a tőkemegtérülési mutató (FNPV(K)) számításánál. A tőkét és jövedelmet érintő illetve egyéb közvetlen adókat szintén nem kell figyelembe venni az (FNPV(K)) számításánál. </w:t>
      </w:r>
      <w:r w:rsidRPr="00D40DC4">
        <w:rPr>
          <w:rFonts w:cs="Arial"/>
          <w:vertAlign w:val="superscript"/>
        </w:rPr>
        <w:footnoteReference w:id="12"/>
      </w:r>
    </w:p>
    <w:p w:rsidR="00322396" w:rsidRPr="00D40DC4" w:rsidRDefault="00322396" w:rsidP="00221929">
      <w:pPr>
        <w:rPr>
          <w:rFonts w:cs="Arial"/>
        </w:rPr>
      </w:pPr>
      <w:r w:rsidRPr="00D40DC4">
        <w:rPr>
          <w:rFonts w:cs="Arial"/>
        </w:rPr>
        <w:t xml:space="preserve">Az FRR(K) mutató gyakran még akkor is pozitív értéket vesz fel, ha az FRR(C) várhatóan alacsony, vagy közberuházás esetén negatív értéket fog felvenni. </w:t>
      </w:r>
    </w:p>
    <w:p w:rsidR="00322396" w:rsidRPr="00D40DC4" w:rsidRDefault="00322396" w:rsidP="00221929">
      <w:pPr>
        <w:rPr>
          <w:rFonts w:cs="Arial"/>
        </w:rPr>
      </w:pPr>
      <w:r w:rsidRPr="00D40DC4">
        <w:rPr>
          <w:rFonts w:cs="Arial"/>
        </w:rPr>
        <w:t xml:space="preserve">A fentieknek megfelelően, az EK által alkalmazott pénzügyi diszkontráta értéke </w:t>
      </w:r>
      <w:r w:rsidR="007B7A04" w:rsidRPr="00D40DC4">
        <w:rPr>
          <w:rFonts w:cs="Arial"/>
        </w:rPr>
        <w:t>4</w:t>
      </w:r>
      <w:r w:rsidRPr="00D40DC4">
        <w:rPr>
          <w:rFonts w:cs="Arial"/>
        </w:rPr>
        <w:t xml:space="preserve">%, mely értékhatárhoz, elvben a kedvezményezett által alkalmazott rátának is igazodni kell. </w:t>
      </w:r>
      <w:r w:rsidR="007B7A04" w:rsidRPr="00D40DC4">
        <w:rPr>
          <w:rFonts w:cs="Arial"/>
        </w:rPr>
        <w:t>Amennyiben az FRR/K meghaladja az 4%-ot, a működtető esetében túltámogatás áll fenn.</w:t>
      </w:r>
    </w:p>
    <w:p w:rsidR="00322396" w:rsidRPr="00D40DC4" w:rsidRDefault="00322396" w:rsidP="00221929">
      <w:pPr>
        <w:rPr>
          <w:rFonts w:cs="Arial"/>
        </w:rPr>
      </w:pPr>
      <w:r w:rsidRPr="00D40DC4">
        <w:rPr>
          <w:rFonts w:cs="Arial"/>
        </w:rPr>
        <w:t xml:space="preserve">Abban az esetben, ha a projekttől nagy, pozitív FRR(K) értéket várnak el, ez rámutat arra az eshetőségre, hogy az EU támogatás a kedvezményezett számára átlag feletti hasznot eredményezhet. </w:t>
      </w:r>
    </w:p>
    <w:p w:rsidR="00322396" w:rsidRPr="00D40DC4" w:rsidRDefault="00322396" w:rsidP="00221929">
      <w:pPr>
        <w:rPr>
          <w:rFonts w:cs="Arial"/>
        </w:rPr>
      </w:pPr>
      <w:bookmarkStart w:id="601" w:name="_Toc238966792"/>
      <w:bookmarkStart w:id="602" w:name="_Toc239887789"/>
      <w:bookmarkStart w:id="603" w:name="_Toc240011980"/>
      <w:bookmarkEnd w:id="601"/>
      <w:bookmarkEnd w:id="602"/>
      <w:bookmarkEnd w:id="603"/>
      <w:r w:rsidRPr="00D40DC4">
        <w:rPr>
          <w:rFonts w:cs="Arial"/>
        </w:rPr>
        <w:t>Az FNPV(K) és a FRR(K) számítása során minden pénzügyi forrást figyelembe kell venni, kivéve az EU támogatást.</w:t>
      </w:r>
    </w:p>
    <w:p w:rsidR="007740C5" w:rsidRPr="00D40DC4" w:rsidRDefault="002C4DE0" w:rsidP="002314F2">
      <w:pPr>
        <w:pStyle w:val="Tblzat"/>
      </w:pPr>
      <w:r>
        <w:fldChar w:fldCharType="begin"/>
      </w:r>
      <w:r>
        <w:instrText xml:space="preserve"> SEQ táblázat \* ARABIC </w:instrText>
      </w:r>
      <w:r>
        <w:fldChar w:fldCharType="separate"/>
      </w:r>
      <w:bookmarkStart w:id="604" w:name="_Toc428557405"/>
      <w:bookmarkStart w:id="605" w:name="_Toc436923953"/>
      <w:r w:rsidR="007B4938" w:rsidRPr="00D40DC4">
        <w:rPr>
          <w:noProof/>
        </w:rPr>
        <w:t>20</w:t>
      </w:r>
      <w:r>
        <w:rPr>
          <w:noProof/>
        </w:rPr>
        <w:fldChar w:fldCharType="end"/>
      </w:r>
      <w:r w:rsidR="007740C5" w:rsidRPr="00D40DC4">
        <w:t xml:space="preserve">. táblázat: A befektetett tőke megtérülésének számítása </w:t>
      </w:r>
      <w:r w:rsidR="007740C5" w:rsidRPr="00D40DC4">
        <w:rPr>
          <w:noProof/>
        </w:rPr>
        <w:t>(Ft, különbözet)</w:t>
      </w:r>
      <w:bookmarkEnd w:id="604"/>
      <w:bookmarkEnd w:id="6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4"/>
        <w:gridCol w:w="1275"/>
        <w:gridCol w:w="1275"/>
        <w:gridCol w:w="1275"/>
        <w:gridCol w:w="348"/>
        <w:gridCol w:w="1275"/>
      </w:tblGrid>
      <w:tr w:rsidR="007740C5" w:rsidRPr="00D40DC4" w:rsidTr="00EE10BE">
        <w:trPr>
          <w:trHeight w:val="255"/>
          <w:tblHeader/>
        </w:trPr>
        <w:tc>
          <w:tcPr>
            <w:tcW w:w="2043"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692"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FPV</w:t>
            </w:r>
          </w:p>
        </w:tc>
        <w:tc>
          <w:tcPr>
            <w:tcW w:w="692" w:type="pct"/>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692"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89"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692"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Pénzügyi működési költség, kivéve a pótlási költséget</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Pénzügyi pótlási költség</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Hiteltörlesztés</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Hitelkamat</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 xml:space="preserve">Nemzeti hozzájárulás, költségvetési </w:t>
            </w:r>
            <w:r w:rsidRPr="00D40DC4">
              <w:lastRenderedPageBreak/>
              <w:t>hozzájárulás</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Kiadási pénzáram (1+2+3+4+5)</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pPr>
            <w:r w:rsidRPr="00D40DC4">
              <w:t>Pénzügyi bevétel</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pPr>
            <w:r w:rsidRPr="00D40DC4">
              <w:t>Pénzügyi maradványérték</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3"/>
              </w:numPr>
              <w:rPr>
                <w:szCs w:val="20"/>
              </w:rPr>
            </w:pPr>
            <w:r w:rsidRPr="00D40DC4">
              <w:t>Nettó összes pénzügyi pénzáram (5+6-3)</w:t>
            </w: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vAlign w:val="bottom"/>
          </w:tcPr>
          <w:p w:rsidR="007740C5" w:rsidRPr="00D40DC4" w:rsidRDefault="007740C5" w:rsidP="00EE10BE">
            <w:pPr>
              <w:spacing w:after="0"/>
              <w:rPr>
                <w:rFonts w:cs="Arial"/>
                <w:b/>
                <w:szCs w:val="20"/>
              </w:rPr>
            </w:pPr>
          </w:p>
        </w:tc>
        <w:tc>
          <w:tcPr>
            <w:tcW w:w="692" w:type="pct"/>
            <w:tcBorders>
              <w:bottom w:val="single" w:sz="4" w:space="0" w:color="auto"/>
            </w:tcBorders>
          </w:tcPr>
          <w:p w:rsidR="007740C5" w:rsidRPr="00D40DC4" w:rsidRDefault="007740C5" w:rsidP="00EE10BE">
            <w:pPr>
              <w:spacing w:after="0"/>
              <w:rPr>
                <w:rFonts w:cs="Arial"/>
                <w:b/>
                <w:szCs w:val="20"/>
              </w:rPr>
            </w:pPr>
          </w:p>
        </w:tc>
        <w:tc>
          <w:tcPr>
            <w:tcW w:w="189"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nettó jelenérték (FNPV(K))</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tcPr>
          <w:p w:rsidR="007740C5" w:rsidRPr="00D40DC4" w:rsidRDefault="007740C5" w:rsidP="00EE10BE">
            <w:pPr>
              <w:spacing w:after="0"/>
              <w:rPr>
                <w:rFonts w:cs="Arial"/>
                <w:b/>
                <w:szCs w:val="20"/>
              </w:rPr>
            </w:pPr>
          </w:p>
        </w:tc>
        <w:tc>
          <w:tcPr>
            <w:tcW w:w="189"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belső megtérülési ráta (FRR(K))</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tcPr>
          <w:p w:rsidR="007740C5" w:rsidRPr="00D40DC4" w:rsidRDefault="007740C5" w:rsidP="00EE10BE">
            <w:pPr>
              <w:spacing w:after="0"/>
              <w:rPr>
                <w:rFonts w:cs="Arial"/>
                <w:b/>
                <w:szCs w:val="20"/>
              </w:rPr>
            </w:pPr>
          </w:p>
        </w:tc>
        <w:tc>
          <w:tcPr>
            <w:tcW w:w="189"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221929">
      <w:pPr>
        <w:rPr>
          <w:rFonts w:cs="Arial"/>
        </w:rPr>
      </w:pPr>
    </w:p>
    <w:p w:rsidR="00C01009" w:rsidRPr="00D40DC4" w:rsidRDefault="00C01009" w:rsidP="00C01009">
      <w:r w:rsidRPr="00D40DC4">
        <w:t>Adott esetben</w:t>
      </w:r>
      <w:r w:rsidR="00A23C0C" w:rsidRPr="00D40DC4">
        <w:t xml:space="preserve"> </w:t>
      </w:r>
      <w:r w:rsidRPr="00D40DC4">
        <w:t>a fejlesztő saját befektetésének (FRR(Kp)) megtérülési rátáját is ki kell számítani. Ez a mutató a beruházás nettó bevételét a fejlesztő által biztosított forrásokhoz, vagyis a beruházási költségek uniós és/vagy nemzeti/regionális hatóságoktól származó, vissza nem térítendő támogatásokkal csökkentett összegéhez viszonyítja. Ennek kiszámítása különösen az állami támogatássokkal összefüggésben lehet hasznos annak ellenőrzésére, hogy (az uniós és nemzeti) támogatások intenzitása a lehető legelőnyösebb-e annak érdekében, hogy a közpénzből történő pénzügyi támogatást a projekt gazdasági és pénzügyi életképességéhez szükséges mértékre korlátozzák. Ha a projekttől jelentős (azaz az adott ágazatban várható nyereségességre vonatkozó nemzeti viszonyszámokat jelentősen meghaladó) pozitív megtérülés várható, ez azt jelzi, hogy a kapott vissza nem térítendő támogatás a szokásos mértéket meghaladó nyereséget eredményezne a kedvezményezett számára, és ezért az uniós támogatás esetleg nem indokolt</w:t>
      </w:r>
    </w:p>
    <w:p w:rsidR="007E44C6" w:rsidRPr="00D40DC4" w:rsidRDefault="007E44C6" w:rsidP="00DD7E6C">
      <w:pPr>
        <w:pStyle w:val="Cmsor3"/>
      </w:pPr>
      <w:bookmarkStart w:id="606" w:name="_Toc436923905"/>
      <w:r w:rsidRPr="00D40DC4">
        <w:t>Pénzügyi elemzés a köz- és magánszféra közötti partnerség (PPP) esetén</w:t>
      </w:r>
      <w:bookmarkEnd w:id="606"/>
    </w:p>
    <w:p w:rsidR="007E44C6" w:rsidRPr="00D40DC4" w:rsidRDefault="007E44C6">
      <w:pPr>
        <w:rPr>
          <w:lang w:val="x-none" w:eastAsia="x-none"/>
        </w:rPr>
      </w:pPr>
      <w:r w:rsidRPr="00D40DC4">
        <w:rPr>
          <w:lang w:val="x-none" w:eastAsia="x-none"/>
        </w:rPr>
        <w:t xml:space="preserve">Az állami és a magánszféra közötti partnerség keretében végrehajtott nagyprojektek pénzügyi elemzésekor az alábbi szempontokat kell figyelembe venni: </w:t>
      </w:r>
    </w:p>
    <w:p w:rsidR="007E44C6" w:rsidRPr="00D40DC4" w:rsidRDefault="007E44C6" w:rsidP="006C5A6D">
      <w:pPr>
        <w:numPr>
          <w:ilvl w:val="0"/>
          <w:numId w:val="14"/>
        </w:numPr>
      </w:pPr>
      <w:r w:rsidRPr="00D40DC4">
        <w:t xml:space="preserve">A pénzügyi diszkontráta meghaladhatja </w:t>
      </w:r>
      <w:r w:rsidRPr="00D40DC4">
        <w:fldChar w:fldCharType="begin"/>
      </w:r>
      <w:r w:rsidRPr="00D40DC4">
        <w:instrText xml:space="preserve"> REF _Ref428349924 \r \h </w:instrText>
      </w:r>
      <w:r w:rsidR="00D40DC4">
        <w:instrText xml:space="preserve"> \* MERGEFORMAT </w:instrText>
      </w:r>
      <w:r w:rsidRPr="00D40DC4">
        <w:fldChar w:fldCharType="separate"/>
      </w:r>
      <w:r w:rsidR="007B4938" w:rsidRPr="00D40DC4">
        <w:t>3.10</w:t>
      </w:r>
      <w:r w:rsidRPr="00D40DC4">
        <w:fldChar w:fldCharType="end"/>
      </w:r>
      <w:r w:rsidRPr="00D40DC4">
        <w:t xml:space="preserve">. fejezetben bemutatott 4%-os értéket, mivel figyelembe kell venni a tőke a magánberuházó szempontjából magasabb alternatív költségét. Ezt a magasabb alternatív költséget a kedvezményezettnek eseti alapon indokolnia kell, lehetőség szerint bemutatva a magánszférabeli partner által korábbi hasonló projektek esetén elért megtérülési rátát vagy más lényeges tényszerű bizonyítékokat. </w:t>
      </w:r>
    </w:p>
    <w:p w:rsidR="007E44C6" w:rsidRPr="00D40DC4" w:rsidRDefault="007E44C6" w:rsidP="006C5A6D">
      <w:pPr>
        <w:numPr>
          <w:ilvl w:val="0"/>
          <w:numId w:val="14"/>
        </w:numPr>
      </w:pPr>
      <w:r w:rsidRPr="00D40DC4">
        <w:t xml:space="preserve">PPP projektek esetén, ahol az infrastruktúra tulajdonosa nem azonos az üzemeltetővel, a tulajdonosra és az üzemeltetőre egyaránt kiterjedő összevont pénzügyi elemzést kell végezni. </w:t>
      </w:r>
    </w:p>
    <w:p w:rsidR="007E44C6" w:rsidRPr="00D40DC4" w:rsidRDefault="007E44C6" w:rsidP="006C5A6D">
      <w:pPr>
        <w:numPr>
          <w:ilvl w:val="0"/>
          <w:numId w:val="14"/>
        </w:numPr>
      </w:pPr>
      <w:r w:rsidRPr="00D40DC4">
        <w:t>Hacsak a magánszektorbeli partnert nem tisztességes, átlátható és nyílt versenyeljárás keretében választják ki, amely biztosítja a gazdaságilag legelőnyösebb megoldást a közszférabeli partner számára, ahhoz, hogy a magántőke nyereségességét ellenőrizni lehessen, illetve annak elkerülése érdekében, hogy az uniós támogatás indokolatlanul nagy nyereséget eredményezzen, ki kell számítani a befektetett tőke pénzügyi nyereségességét a magánszférabeli befektető szempo</w:t>
      </w:r>
      <w:r w:rsidR="00A6501D" w:rsidRPr="00D40DC4">
        <w:t>ntjából mérő mutatót (FRR(Kp))</w:t>
      </w:r>
      <w:r w:rsidRPr="00D40DC4">
        <w:t>, amely a magánszférabeli partner által elért nettó bevételt hasonlítja össze a beruházás során (saját tőke vagy kölcsönök útján) biztosított forrásokkal. Az így kapott FRR(Kp)-t össze kell vetni az adott ágazatban várható nyereségességre vonatkozó nemzeti vagy nemzetközi viszonyszámokkal.</w:t>
      </w:r>
    </w:p>
    <w:p w:rsidR="00DF70D1" w:rsidRPr="00D40DC4" w:rsidRDefault="00DF70D1">
      <w:pPr>
        <w:rPr>
          <w:lang w:val="x-none" w:eastAsia="x-none"/>
        </w:rPr>
      </w:pPr>
      <w:r w:rsidRPr="00D40DC4">
        <w:rPr>
          <w:lang w:val="x-none" w:eastAsia="x-none"/>
        </w:rPr>
        <w:t>A magánberuházó kiadási pénzáramai a következők lehetnek:</w:t>
      </w:r>
    </w:p>
    <w:p w:rsidR="00DF70D1" w:rsidRPr="00D40DC4" w:rsidRDefault="00DF70D1" w:rsidP="006C5A6D">
      <w:pPr>
        <w:numPr>
          <w:ilvl w:val="0"/>
          <w:numId w:val="14"/>
        </w:numPr>
      </w:pPr>
      <w:r w:rsidRPr="00D40DC4">
        <w:t xml:space="preserve">Magánberuházóra jutó beruházási költség – a teljes beruházási költség magánberuházóra jutó része </w:t>
      </w:r>
    </w:p>
    <w:p w:rsidR="00DF70D1" w:rsidRPr="00D40DC4" w:rsidRDefault="00DF70D1" w:rsidP="006C5A6D">
      <w:pPr>
        <w:numPr>
          <w:ilvl w:val="0"/>
          <w:numId w:val="14"/>
        </w:numPr>
        <w:rPr>
          <w:lang w:val="x-none"/>
        </w:rPr>
      </w:pPr>
      <w:r w:rsidRPr="00D40DC4">
        <w:rPr>
          <w:lang w:val="x-none"/>
        </w:rPr>
        <w:t>Pénzügyi működési költség</w:t>
      </w:r>
      <w:r w:rsidRPr="00D40DC4">
        <w:t xml:space="preserve"> – a működési (üzemeltetési, karbantartási és pótlási) költségek </w:t>
      </w:r>
      <w:r w:rsidR="005F54BB" w:rsidRPr="00D40DC4">
        <w:t>közül a magánberuházóra jutó rész</w:t>
      </w:r>
    </w:p>
    <w:p w:rsidR="00DF70D1" w:rsidRPr="00D40DC4" w:rsidRDefault="00DF70D1" w:rsidP="006C5A6D">
      <w:pPr>
        <w:numPr>
          <w:ilvl w:val="0"/>
          <w:numId w:val="14"/>
        </w:numPr>
        <w:rPr>
          <w:lang w:val="x-none"/>
        </w:rPr>
      </w:pPr>
      <w:r w:rsidRPr="00D40DC4">
        <w:rPr>
          <w:lang w:val="x-none"/>
        </w:rPr>
        <w:t>Hiteltörlesztés (kamatokkal együtt)</w:t>
      </w:r>
      <w:r w:rsidR="005F54BB" w:rsidRPr="00D40DC4">
        <w:t xml:space="preserve"> – a magánberuházó által felvett hitel visszafizetése, beleértve annak valamennyi járulékos költségét</w:t>
      </w:r>
    </w:p>
    <w:p w:rsidR="00DF70D1" w:rsidRPr="00D40DC4" w:rsidRDefault="00DF70D1" w:rsidP="006C5A6D">
      <w:pPr>
        <w:numPr>
          <w:ilvl w:val="0"/>
          <w:numId w:val="14"/>
        </w:numPr>
        <w:rPr>
          <w:lang w:val="x-none"/>
        </w:rPr>
      </w:pPr>
      <w:r w:rsidRPr="00D40DC4">
        <w:rPr>
          <w:lang w:val="x-none"/>
        </w:rPr>
        <w:t xml:space="preserve">Közszektornak fizetendő díj </w:t>
      </w:r>
      <w:r w:rsidR="005F54BB" w:rsidRPr="00D40DC4">
        <w:t xml:space="preserve">– az infrastruktúra üzemeltetése fejében fizetendő díj, mely főként koncessziós díj, PPP-díj stb. lehet </w:t>
      </w:r>
    </w:p>
    <w:p w:rsidR="00EB7FB9" w:rsidRPr="00D40DC4" w:rsidRDefault="00EB7FB9">
      <w:pPr>
        <w:spacing w:after="160" w:line="259" w:lineRule="auto"/>
        <w:jc w:val="left"/>
      </w:pPr>
      <w:r w:rsidRPr="00D40DC4">
        <w:lastRenderedPageBreak/>
        <w:br w:type="page"/>
      </w:r>
    </w:p>
    <w:p w:rsidR="007740C5" w:rsidRPr="00D40DC4" w:rsidRDefault="007740C5" w:rsidP="002314F2">
      <w:pPr>
        <w:pStyle w:val="Tblzat"/>
        <w:rPr>
          <w:noProof/>
        </w:rPr>
      </w:pPr>
      <w:r w:rsidRPr="00D40DC4">
        <w:rPr>
          <w:noProof/>
        </w:rPr>
        <w:lastRenderedPageBreak/>
        <w:fldChar w:fldCharType="begin"/>
      </w:r>
      <w:r w:rsidRPr="00D40DC4">
        <w:rPr>
          <w:noProof/>
        </w:rPr>
        <w:instrText xml:space="preserve"> SEQ táblázat \* ARABIC </w:instrText>
      </w:r>
      <w:r w:rsidRPr="00D40DC4">
        <w:rPr>
          <w:noProof/>
        </w:rPr>
        <w:fldChar w:fldCharType="separate"/>
      </w:r>
      <w:bookmarkStart w:id="607" w:name="_Toc428557406"/>
      <w:bookmarkStart w:id="608" w:name="_Toc436923954"/>
      <w:r w:rsidR="007B4938" w:rsidRPr="00D40DC4">
        <w:rPr>
          <w:noProof/>
        </w:rPr>
        <w:t>21</w:t>
      </w:r>
      <w:r w:rsidRPr="00D40DC4">
        <w:rPr>
          <w:noProof/>
        </w:rPr>
        <w:fldChar w:fldCharType="end"/>
      </w:r>
      <w:r w:rsidRPr="00D40DC4">
        <w:rPr>
          <w:noProof/>
        </w:rPr>
        <w:t>. táblázat: Pénzügyi elemzés köz-és magánszféra közötti partnerség esetén (Ft, különbözet)</w:t>
      </w:r>
      <w:bookmarkEnd w:id="607"/>
      <w:bookmarkEnd w:id="6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4"/>
        <w:gridCol w:w="1275"/>
        <w:gridCol w:w="1275"/>
        <w:gridCol w:w="1275"/>
        <w:gridCol w:w="348"/>
        <w:gridCol w:w="1275"/>
      </w:tblGrid>
      <w:tr w:rsidR="007740C5" w:rsidRPr="00D40DC4" w:rsidTr="00EE10BE">
        <w:trPr>
          <w:trHeight w:val="255"/>
          <w:tblHeader/>
        </w:trPr>
        <w:tc>
          <w:tcPr>
            <w:tcW w:w="2043"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692"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FPV</w:t>
            </w:r>
          </w:p>
        </w:tc>
        <w:tc>
          <w:tcPr>
            <w:tcW w:w="692" w:type="pct"/>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692"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89"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692"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 xml:space="preserve">Magánberuházóra jutó beruházási költség </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Pénzügyi működési költség</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pPr>
            <w:r w:rsidRPr="00D40DC4">
              <w:t>Hiteltörlesztés (kamatokkal együtt)</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pPr>
            <w:r w:rsidRPr="00D40DC4">
              <w:t xml:space="preserve">Közszektornak fizetendő díj </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Kiadási pénzáram (1+2+3+4)</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Pénzügyi bevétel</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Bevételi pénzáram</w:t>
            </w:r>
          </w:p>
        </w:tc>
        <w:tc>
          <w:tcPr>
            <w:tcW w:w="692" w:type="pct"/>
            <w:shd w:val="clear" w:color="auto" w:fill="auto"/>
            <w:noWrap/>
            <w:vAlign w:val="bottom"/>
          </w:tcPr>
          <w:p w:rsidR="007740C5" w:rsidRPr="00D40DC4" w:rsidRDefault="007740C5" w:rsidP="00EE10BE">
            <w:pPr>
              <w:spacing w:after="0"/>
              <w:rPr>
                <w:rFonts w:cs="Arial"/>
                <w:szCs w:val="20"/>
              </w:rPr>
            </w:pPr>
          </w:p>
        </w:tc>
        <w:tc>
          <w:tcPr>
            <w:tcW w:w="692" w:type="pct"/>
            <w:vAlign w:val="bottom"/>
          </w:tcPr>
          <w:p w:rsidR="007740C5" w:rsidRPr="00D40DC4" w:rsidRDefault="007740C5" w:rsidP="00EE10BE">
            <w:pPr>
              <w:spacing w:after="0"/>
              <w:rPr>
                <w:rFonts w:cs="Arial"/>
                <w:szCs w:val="20"/>
              </w:rPr>
            </w:pPr>
          </w:p>
        </w:tc>
        <w:tc>
          <w:tcPr>
            <w:tcW w:w="692" w:type="pct"/>
          </w:tcPr>
          <w:p w:rsidR="007740C5" w:rsidRPr="00D40DC4" w:rsidRDefault="007740C5" w:rsidP="00EE10BE">
            <w:pPr>
              <w:spacing w:after="0"/>
              <w:rPr>
                <w:rFonts w:cs="Arial"/>
                <w:szCs w:val="20"/>
              </w:rPr>
            </w:pPr>
          </w:p>
        </w:tc>
        <w:tc>
          <w:tcPr>
            <w:tcW w:w="189" w:type="pct"/>
            <w:shd w:val="clear" w:color="auto" w:fill="auto"/>
            <w:noWrap/>
            <w:vAlign w:val="bottom"/>
          </w:tcPr>
          <w:p w:rsidR="007740C5" w:rsidRPr="00D40DC4" w:rsidRDefault="007740C5" w:rsidP="00EE10BE">
            <w:pPr>
              <w:spacing w:after="0"/>
              <w:rPr>
                <w:rFonts w:cs="Arial"/>
                <w:szCs w:val="20"/>
              </w:rPr>
            </w:pPr>
          </w:p>
        </w:tc>
        <w:tc>
          <w:tcPr>
            <w:tcW w:w="692"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4"/>
              </w:numPr>
              <w:rPr>
                <w:szCs w:val="20"/>
              </w:rPr>
            </w:pPr>
            <w:r w:rsidRPr="00D40DC4">
              <w:t>Nettó összes pénzügyi pénzáram (7-5)</w:t>
            </w: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vAlign w:val="bottom"/>
          </w:tcPr>
          <w:p w:rsidR="007740C5" w:rsidRPr="00D40DC4" w:rsidRDefault="007740C5" w:rsidP="00EE10BE">
            <w:pPr>
              <w:spacing w:after="0"/>
              <w:rPr>
                <w:rFonts w:cs="Arial"/>
                <w:b/>
                <w:szCs w:val="20"/>
              </w:rPr>
            </w:pPr>
          </w:p>
        </w:tc>
        <w:tc>
          <w:tcPr>
            <w:tcW w:w="692" w:type="pct"/>
            <w:tcBorders>
              <w:bottom w:val="single" w:sz="4" w:space="0" w:color="auto"/>
            </w:tcBorders>
          </w:tcPr>
          <w:p w:rsidR="007740C5" w:rsidRPr="00D40DC4" w:rsidRDefault="007740C5" w:rsidP="00EE10BE">
            <w:pPr>
              <w:spacing w:after="0"/>
              <w:rPr>
                <w:rFonts w:cs="Arial"/>
                <w:b/>
                <w:szCs w:val="20"/>
              </w:rPr>
            </w:pPr>
          </w:p>
        </w:tc>
        <w:tc>
          <w:tcPr>
            <w:tcW w:w="189"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nettó jelenérték (FNPV(Kp))</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tcPr>
          <w:p w:rsidR="007740C5" w:rsidRPr="00D40DC4" w:rsidRDefault="007740C5" w:rsidP="00EE10BE">
            <w:pPr>
              <w:spacing w:after="0"/>
              <w:rPr>
                <w:rFonts w:cs="Arial"/>
                <w:b/>
                <w:szCs w:val="20"/>
              </w:rPr>
            </w:pPr>
          </w:p>
        </w:tc>
        <w:tc>
          <w:tcPr>
            <w:tcW w:w="189"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Pénzügyi belső megtérülési ráta (FRR(Kp))</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single" w:sz="4" w:space="0" w:color="auto"/>
              <w:bottom w:val="nil"/>
              <w:right w:val="nil"/>
            </w:tcBorders>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tcPr>
          <w:p w:rsidR="007740C5" w:rsidRPr="00D40DC4" w:rsidRDefault="007740C5" w:rsidP="00EE10BE">
            <w:pPr>
              <w:spacing w:after="0"/>
              <w:rPr>
                <w:rFonts w:cs="Arial"/>
                <w:b/>
                <w:szCs w:val="20"/>
              </w:rPr>
            </w:pPr>
          </w:p>
        </w:tc>
        <w:tc>
          <w:tcPr>
            <w:tcW w:w="189"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92"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971400"/>
    <w:p w:rsidR="005F54BB" w:rsidRPr="00D40DC4" w:rsidRDefault="005F54BB">
      <w:pPr>
        <w:rPr>
          <w:lang w:eastAsia="x-none"/>
        </w:rPr>
      </w:pPr>
      <w:r w:rsidRPr="00D40DC4">
        <w:rPr>
          <w:lang w:eastAsia="x-none"/>
        </w:rPr>
        <w:t>A számítás során a maradványérték csak abban az esetben vehető figyelembe, amennyiben az a vizsgálati időtáv után a magánberuházó tulajdonába kerül.</w:t>
      </w:r>
      <w:r w:rsidR="00657CE4" w:rsidRPr="00D40DC4">
        <w:rPr>
          <w:lang w:eastAsia="x-none"/>
        </w:rPr>
        <w:t xml:space="preserve"> Abban az esetben, ha az infrastruktúra az időszak végén értékesítésre kerül és ebből a magánberuházó részesedést kap, a magánberuházó része, mint maradványérték veendő figyelembe.</w:t>
      </w:r>
    </w:p>
    <w:p w:rsidR="00322396" w:rsidRPr="00D40DC4" w:rsidRDefault="00322396" w:rsidP="00DD7E6C">
      <w:pPr>
        <w:pStyle w:val="Cmsor2"/>
      </w:pPr>
      <w:bookmarkStart w:id="609" w:name="_Toc177825060"/>
      <w:bookmarkStart w:id="610" w:name="_Toc241657535"/>
      <w:bookmarkStart w:id="611" w:name="_Toc228260757"/>
      <w:bookmarkStart w:id="612" w:name="_Ref428192252"/>
      <w:bookmarkStart w:id="613" w:name="_Ref428258437"/>
      <w:bookmarkStart w:id="614" w:name="_Toc436923906"/>
      <w:r w:rsidRPr="00D40DC4">
        <w:t xml:space="preserve">A támogatási összeg </w:t>
      </w:r>
      <w:bookmarkEnd w:id="609"/>
      <w:r w:rsidRPr="00D40DC4">
        <w:t>meghatározása</w:t>
      </w:r>
      <w:bookmarkEnd w:id="610"/>
      <w:bookmarkEnd w:id="611"/>
      <w:bookmarkEnd w:id="612"/>
      <w:bookmarkEnd w:id="613"/>
      <w:bookmarkEnd w:id="614"/>
    </w:p>
    <w:p w:rsidR="00322396" w:rsidRPr="00D40DC4" w:rsidRDefault="00322396" w:rsidP="00DD7E6C">
      <w:pPr>
        <w:pStyle w:val="Cmsor3"/>
      </w:pPr>
      <w:bookmarkStart w:id="615" w:name="_Toc161565728"/>
      <w:bookmarkStart w:id="616" w:name="_Toc177825061"/>
      <w:bookmarkStart w:id="617" w:name="_Toc241657536"/>
      <w:bookmarkStart w:id="618" w:name="_Toc228260758"/>
      <w:bookmarkStart w:id="619" w:name="_Ref428371339"/>
      <w:bookmarkStart w:id="620" w:name="_Toc436923907"/>
      <w:r w:rsidRPr="00D40DC4">
        <w:t>Támogathatósági feltételek vizsgálata</w:t>
      </w:r>
      <w:bookmarkEnd w:id="615"/>
      <w:bookmarkEnd w:id="616"/>
      <w:bookmarkEnd w:id="617"/>
      <w:bookmarkEnd w:id="618"/>
      <w:bookmarkEnd w:id="619"/>
      <w:bookmarkEnd w:id="620"/>
    </w:p>
    <w:p w:rsidR="00322396" w:rsidRPr="00D40DC4" w:rsidRDefault="00322396" w:rsidP="00221929">
      <w:pPr>
        <w:rPr>
          <w:rFonts w:cs="Arial"/>
        </w:rPr>
      </w:pPr>
      <w:r w:rsidRPr="00D40DC4">
        <w:rPr>
          <w:rFonts w:cs="Arial"/>
        </w:rPr>
        <w:t>Az EU útmutatók szerint egy projekt akkor jogosult támogatásra, ha</w:t>
      </w:r>
    </w:p>
    <w:p w:rsidR="00322396" w:rsidRPr="00D40DC4" w:rsidRDefault="00322396" w:rsidP="006F2748">
      <w:pPr>
        <w:numPr>
          <w:ilvl w:val="0"/>
          <w:numId w:val="40"/>
        </w:numPr>
      </w:pPr>
      <w:r w:rsidRPr="00D40DC4">
        <w:t xml:space="preserve">a közgazdasági költség-haszon elemzés alapján a társadalmi hasznosság igazolható. A részletes elemzésben a teljesítménymutatókkal szembeni követelmények (lásd a </w:t>
      </w:r>
      <w:r w:rsidR="007E1088" w:rsidRPr="00D40DC4">
        <w:fldChar w:fldCharType="begin"/>
      </w:r>
      <w:r w:rsidR="007E1088" w:rsidRPr="00D40DC4">
        <w:instrText xml:space="preserve"> REF _Ref428372280 \r \h </w:instrText>
      </w:r>
      <w:r w:rsidR="00D40DC4">
        <w:instrText xml:space="preserve"> \* MERGEFORMAT </w:instrText>
      </w:r>
      <w:r w:rsidR="007E1088" w:rsidRPr="00D40DC4">
        <w:fldChar w:fldCharType="separate"/>
      </w:r>
      <w:r w:rsidR="007B4938" w:rsidRPr="00D40DC4">
        <w:t>5.3</w:t>
      </w:r>
      <w:r w:rsidR="007E1088" w:rsidRPr="00D40DC4">
        <w:fldChar w:fldCharType="end"/>
      </w:r>
      <w:r w:rsidRPr="00D40DC4">
        <w:t>. fejezetet) az alábbiak:</w:t>
      </w:r>
    </w:p>
    <w:p w:rsidR="00322396" w:rsidRPr="00D40DC4" w:rsidRDefault="00322396" w:rsidP="006C5A6D">
      <w:pPr>
        <w:numPr>
          <w:ilvl w:val="1"/>
          <w:numId w:val="15"/>
        </w:numPr>
      </w:pPr>
      <w:r w:rsidRPr="00D40DC4">
        <w:t xml:space="preserve">ENPV pozitív, </w:t>
      </w:r>
    </w:p>
    <w:p w:rsidR="00322396" w:rsidRPr="00D40DC4" w:rsidRDefault="00322396" w:rsidP="006C5A6D">
      <w:pPr>
        <w:numPr>
          <w:ilvl w:val="1"/>
          <w:numId w:val="15"/>
        </w:numPr>
      </w:pPr>
      <w:r w:rsidRPr="00D40DC4">
        <w:t>az ERR magasabb, mint az alkalmazott társadalmi diszkontráta,</w:t>
      </w:r>
    </w:p>
    <w:p w:rsidR="00322396" w:rsidRPr="00D40DC4" w:rsidRDefault="00322396" w:rsidP="006C5A6D">
      <w:pPr>
        <w:numPr>
          <w:ilvl w:val="1"/>
          <w:numId w:val="15"/>
        </w:numPr>
      </w:pPr>
      <w:r w:rsidRPr="00D40DC4">
        <w:t>a haszon-költség arány nagyobb, mint 1;</w:t>
      </w:r>
    </w:p>
    <w:p w:rsidR="00322396" w:rsidRPr="00D40DC4" w:rsidRDefault="00322396" w:rsidP="006F2748">
      <w:pPr>
        <w:numPr>
          <w:ilvl w:val="0"/>
          <w:numId w:val="40"/>
        </w:numPr>
      </w:pPr>
      <w:r w:rsidRPr="00D40DC4">
        <w:t>a pénzügyi elemzés alapján igazolható, hogy csak a megvalósuláshoz szükséges mér</w:t>
      </w:r>
      <w:r w:rsidR="00946AB4" w:rsidRPr="00D40DC4">
        <w:t>tékű támogatást kapja a projekt</w:t>
      </w:r>
      <w:r w:rsidRPr="00D40DC4">
        <w:t>, túl-támogatás nem történik. A részletes elemzésben a</w:t>
      </w:r>
      <w:r w:rsidRPr="00D40DC4" w:rsidDel="001038AA">
        <w:t xml:space="preserve"> </w:t>
      </w:r>
      <w:r w:rsidRPr="00D40DC4">
        <w:t>teljesítménymutatókkal szembeni követelmények:</w:t>
      </w:r>
      <w:r w:rsidRPr="00D40DC4" w:rsidDel="00340F03">
        <w:t xml:space="preserve"> </w:t>
      </w:r>
    </w:p>
    <w:p w:rsidR="00322396" w:rsidRPr="00D40DC4" w:rsidRDefault="00322396" w:rsidP="006C5A6D">
      <w:pPr>
        <w:numPr>
          <w:ilvl w:val="1"/>
          <w:numId w:val="15"/>
        </w:numPr>
      </w:pPr>
      <w:r w:rsidRPr="00D40DC4">
        <w:t>FNPV(C) negatív,</w:t>
      </w:r>
    </w:p>
    <w:p w:rsidR="00322396" w:rsidRPr="00D40DC4" w:rsidRDefault="00322396" w:rsidP="006C5A6D">
      <w:pPr>
        <w:numPr>
          <w:ilvl w:val="1"/>
          <w:numId w:val="15"/>
        </w:numPr>
      </w:pPr>
      <w:r w:rsidRPr="00D40DC4">
        <w:t>az FRR(K) alacsonyabb, mint az alkalmazott pénzügyi diszkontráta;</w:t>
      </w:r>
    </w:p>
    <w:p w:rsidR="00322396" w:rsidRPr="00D40DC4" w:rsidRDefault="00322396" w:rsidP="006F2748">
      <w:pPr>
        <w:numPr>
          <w:ilvl w:val="0"/>
          <w:numId w:val="40"/>
        </w:numPr>
      </w:pPr>
      <w:r w:rsidRPr="00D40DC4">
        <w:t>a pénzügyi elemzés pénzáram elemzése alapján igazolható, hogy a projekt keretében létrehozott eszközök működtetése, a szolgáltatási színvonal pénzügyileg fenntartható. A részletes elemzésben pénzárammal szembeni követelmény:</w:t>
      </w:r>
    </w:p>
    <w:p w:rsidR="00322396" w:rsidRPr="00D40DC4" w:rsidRDefault="00322396" w:rsidP="006C5A6D">
      <w:pPr>
        <w:numPr>
          <w:ilvl w:val="1"/>
          <w:numId w:val="15"/>
        </w:numPr>
      </w:pPr>
      <w:r w:rsidRPr="00D40DC4">
        <w:t>az egyes években a halmozott működési pénzáram ne legyen negatív</w:t>
      </w:r>
      <w:r w:rsidR="007B7A04" w:rsidRPr="00D40DC4">
        <w:t>.</w:t>
      </w:r>
      <w:r w:rsidRPr="00D40DC4">
        <w:rPr>
          <w:vertAlign w:val="superscript"/>
        </w:rPr>
        <w:footnoteReference w:id="13"/>
      </w:r>
    </w:p>
    <w:p w:rsidR="00322396" w:rsidRPr="00D40DC4" w:rsidRDefault="00322396" w:rsidP="00DD7E6C">
      <w:pPr>
        <w:pStyle w:val="Cmsor3"/>
      </w:pPr>
      <w:bookmarkStart w:id="621" w:name="_Toc223877282"/>
      <w:bookmarkStart w:id="622" w:name="_Toc177551746"/>
      <w:bookmarkStart w:id="623" w:name="_Toc177825062"/>
      <w:bookmarkStart w:id="624" w:name="_Toc241657537"/>
      <w:bookmarkStart w:id="625" w:name="_Toc228260759"/>
      <w:bookmarkStart w:id="626" w:name="_Ref428774716"/>
      <w:bookmarkStart w:id="627" w:name="_Toc436923908"/>
      <w:bookmarkEnd w:id="621"/>
      <w:r w:rsidRPr="00D40DC4">
        <w:lastRenderedPageBreak/>
        <w:t>A támogatási összeg meghatározása</w:t>
      </w:r>
      <w:bookmarkEnd w:id="622"/>
      <w:bookmarkEnd w:id="623"/>
      <w:bookmarkEnd w:id="624"/>
      <w:bookmarkEnd w:id="625"/>
      <w:bookmarkEnd w:id="626"/>
      <w:bookmarkEnd w:id="627"/>
    </w:p>
    <w:p w:rsidR="00322396" w:rsidRPr="00D40DC4" w:rsidRDefault="00322396" w:rsidP="005A76C2">
      <w:pPr>
        <w:pStyle w:val="Cmsor4"/>
      </w:pPr>
      <w:r w:rsidRPr="00D40DC4">
        <w:t xml:space="preserve">Milyen támogatási szabályt kell alkalmazni </w:t>
      </w:r>
    </w:p>
    <w:p w:rsidR="00322396" w:rsidRPr="00D40DC4" w:rsidRDefault="00322396" w:rsidP="00221929">
      <w:pPr>
        <w:rPr>
          <w:rFonts w:cs="Arial"/>
        </w:rPr>
      </w:pPr>
      <w:r w:rsidRPr="00D40DC4">
        <w:rPr>
          <w:rFonts w:cs="Arial"/>
        </w:rPr>
        <w:t>A támogatási összeg kiszámításának első lépéseként meg kell állapítani, hogy a projekt melyik támogatási szabály alá tartozik, milyen képletet kell alkalmazni a számításhoz. A megfelelő támogatási szabály megállapítását segíti a pénz</w:t>
      </w:r>
      <w:r w:rsidR="009F118C" w:rsidRPr="00D40DC4">
        <w:rPr>
          <w:rFonts w:cs="Arial"/>
        </w:rPr>
        <w:t xml:space="preserve">ügyi elemzés elején bemutatott </w:t>
      </w:r>
      <w:r w:rsidR="001F37EA" w:rsidRPr="00D40DC4">
        <w:rPr>
          <w:rFonts w:cs="Arial"/>
        </w:rPr>
        <w:fldChar w:fldCharType="begin"/>
      </w:r>
      <w:r w:rsidR="001F37EA" w:rsidRPr="00D40DC4">
        <w:rPr>
          <w:rFonts w:cs="Arial"/>
        </w:rPr>
        <w:instrText xml:space="preserve"> REF _Ref428772499 \h </w:instrText>
      </w:r>
      <w:r w:rsidR="00D40DC4">
        <w:rPr>
          <w:rFonts w:cs="Arial"/>
        </w:rPr>
        <w:instrText xml:space="preserve"> \* MERGEFORMAT </w:instrText>
      </w:r>
      <w:r w:rsidR="001F37EA" w:rsidRPr="00D40DC4">
        <w:rPr>
          <w:rFonts w:cs="Arial"/>
        </w:rPr>
      </w:r>
      <w:r w:rsidR="001F37EA" w:rsidRPr="00D40DC4">
        <w:rPr>
          <w:rFonts w:cs="Arial"/>
        </w:rPr>
        <w:fldChar w:fldCharType="separate"/>
      </w:r>
      <w:r w:rsidR="007B4938" w:rsidRPr="00D40DC4">
        <w:rPr>
          <w:noProof/>
        </w:rPr>
        <w:t>4</w:t>
      </w:r>
      <w:r w:rsidR="001F37EA" w:rsidRPr="00D40DC4">
        <w:rPr>
          <w:rFonts w:cs="Arial"/>
        </w:rPr>
        <w:fldChar w:fldCharType="end"/>
      </w:r>
      <w:r w:rsidR="001F37EA" w:rsidRPr="00D40DC4">
        <w:rPr>
          <w:rFonts w:cs="Arial"/>
        </w:rPr>
        <w:t xml:space="preserve">. </w:t>
      </w:r>
      <w:r w:rsidRPr="00D40DC4">
        <w:rPr>
          <w:rFonts w:cs="Arial"/>
        </w:rPr>
        <w:t>ábra.</w:t>
      </w:r>
    </w:p>
    <w:p w:rsidR="002633DF" w:rsidRPr="00D40DC4" w:rsidRDefault="00322396" w:rsidP="00221929">
      <w:pPr>
        <w:rPr>
          <w:rFonts w:cs="Arial"/>
        </w:rPr>
      </w:pPr>
      <w:r w:rsidRPr="00D40DC4">
        <w:rPr>
          <w:rFonts w:cs="Arial"/>
        </w:rPr>
        <w:t>Lehetnek olyan komplex projektek, ahol a megvalósítást jelentő tevékenységek egyes csoportjai a támogatási szabályok szempontjából eltérő megítélés alá esnek, így azokat a pénzügyi elemzés során elkülönült projektelemnek kell tekinteni és a pénzügyi elemzés projekt elemenként kell elvégezni.</w:t>
      </w:r>
    </w:p>
    <w:p w:rsidR="00A0427E" w:rsidRPr="00D40DC4" w:rsidRDefault="00A0427E" w:rsidP="00221929">
      <w:pPr>
        <w:rPr>
          <w:rFonts w:cs="Arial"/>
        </w:rPr>
      </w:pPr>
      <w:r w:rsidRPr="00D40DC4">
        <w:rPr>
          <w:rFonts w:cs="Arial"/>
        </w:rPr>
        <w:t>A nettó bevételt meg kell határozni az alábbi esetekben</w:t>
      </w:r>
    </w:p>
    <w:p w:rsidR="00A0427E" w:rsidRPr="00D40DC4" w:rsidRDefault="00A0427E" w:rsidP="006F2748">
      <w:pPr>
        <w:numPr>
          <w:ilvl w:val="0"/>
          <w:numId w:val="40"/>
        </w:numPr>
      </w:pPr>
      <w:r w:rsidRPr="00D40DC4">
        <w:t>1 millió EUR feletti közcélú projekteknél</w:t>
      </w:r>
    </w:p>
    <w:p w:rsidR="00A0427E" w:rsidRPr="00D40DC4" w:rsidRDefault="00A0427E" w:rsidP="006F2748">
      <w:pPr>
        <w:numPr>
          <w:ilvl w:val="0"/>
          <w:numId w:val="40"/>
        </w:numPr>
      </w:pPr>
      <w:r w:rsidRPr="00D40DC4">
        <w:t>a működési eredményt figyelembe vevő állami támogatások esetén.</w:t>
      </w:r>
    </w:p>
    <w:p w:rsidR="002633DF" w:rsidRPr="00D40DC4" w:rsidRDefault="002633DF" w:rsidP="00221929">
      <w:pPr>
        <w:rPr>
          <w:rFonts w:cs="Arial"/>
        </w:rPr>
      </w:pPr>
      <w:r w:rsidRPr="00D40DC4">
        <w:rPr>
          <w:rFonts w:cs="Arial"/>
        </w:rPr>
        <w:t xml:space="preserve">A 2014-2020 közötti programozási időszakban </w:t>
      </w:r>
      <w:r w:rsidR="00E94DFE" w:rsidRPr="00D40DC4">
        <w:rPr>
          <w:rFonts w:cs="Arial"/>
        </w:rPr>
        <w:t>a</w:t>
      </w:r>
      <w:r w:rsidR="00A0427E" w:rsidRPr="00D40DC4">
        <w:rPr>
          <w:rFonts w:cs="Arial"/>
        </w:rPr>
        <w:t xml:space="preserve"> közcélú</w:t>
      </w:r>
      <w:r w:rsidR="00E94DFE" w:rsidRPr="00D40DC4">
        <w:rPr>
          <w:rFonts w:cs="Arial"/>
        </w:rPr>
        <w:t xml:space="preserve"> nettó bevételt termelő projekteknél </w:t>
      </w:r>
      <w:r w:rsidRPr="00D40DC4">
        <w:rPr>
          <w:rFonts w:cs="Arial"/>
        </w:rPr>
        <w:t>a támogatási összeg meghatározására három lehetőség áll rendelkezésre</w:t>
      </w:r>
      <w:r w:rsidR="00A0427E" w:rsidRPr="00D40DC4">
        <w:rPr>
          <w:rFonts w:cs="Arial"/>
        </w:rPr>
        <w:t>, a második kettő csak akkor, ha a kiírásra vonatkozó szabályozás azt megengedi</w:t>
      </w:r>
      <w:r w:rsidRPr="00D40DC4">
        <w:rPr>
          <w:rFonts w:cs="Arial"/>
        </w:rPr>
        <w:t>:</w:t>
      </w:r>
    </w:p>
    <w:p w:rsidR="002633DF" w:rsidRPr="00D40DC4" w:rsidRDefault="002633DF" w:rsidP="006F2748">
      <w:pPr>
        <w:numPr>
          <w:ilvl w:val="0"/>
          <w:numId w:val="40"/>
        </w:numPr>
        <w:rPr>
          <w:lang w:val="en-US"/>
        </w:rPr>
      </w:pPr>
      <w:r w:rsidRPr="00D40DC4">
        <w:rPr>
          <w:lang w:val="en-US"/>
        </w:rPr>
        <w:t>diszkontált nettó bevétel (DNR),</w:t>
      </w:r>
    </w:p>
    <w:p w:rsidR="002633DF" w:rsidRPr="00D40DC4" w:rsidRDefault="002633DF" w:rsidP="006F2748">
      <w:pPr>
        <w:numPr>
          <w:ilvl w:val="0"/>
          <w:numId w:val="40"/>
        </w:numPr>
      </w:pPr>
      <w:r w:rsidRPr="00D40DC4">
        <w:t>a nettó bevétel százalékban me</w:t>
      </w:r>
      <w:r w:rsidR="00656388" w:rsidRPr="00D40DC4">
        <w:t>ghatározott átalány (flat rate)</w:t>
      </w:r>
      <w:r w:rsidRPr="00D40DC4">
        <w:t>,</w:t>
      </w:r>
    </w:p>
    <w:p w:rsidR="00061B21" w:rsidRPr="00D40DC4" w:rsidRDefault="007E1088" w:rsidP="006F2748">
      <w:pPr>
        <w:numPr>
          <w:ilvl w:val="0"/>
          <w:numId w:val="40"/>
        </w:numPr>
      </w:pPr>
      <w:r w:rsidRPr="00D40DC4">
        <w:t xml:space="preserve">intézkedési </w:t>
      </w:r>
      <w:r w:rsidR="00061B21" w:rsidRPr="00D40DC4">
        <w:t xml:space="preserve">szinten </w:t>
      </w:r>
      <w:r w:rsidRPr="00D40DC4">
        <w:t>maximalizált,</w:t>
      </w:r>
      <w:r w:rsidR="00061B21" w:rsidRPr="00D40DC4">
        <w:t xml:space="preserve"> egységes társfinanszírozási ráta</w:t>
      </w:r>
    </w:p>
    <w:p w:rsidR="00D84B8B" w:rsidRPr="00D40DC4" w:rsidRDefault="00D84B8B" w:rsidP="009D0109">
      <w:r w:rsidRPr="00D40DC4">
        <w:t>A támogatási összeg számításakor a nettó bevételt (nem állami támogatás, azaz közcélú projektek esetén) illetve a működési eredményt (állami támogatás alá eső projekteknél) a megfelelő diszkontráta alkalmazásával diszkontálni kell. A beruházás nem megtérülő, azaz támogatható része (a társfinanszírozási ráta) a diszkontált</w:t>
      </w:r>
      <w:r w:rsidR="00657272" w:rsidRPr="00D40DC4">
        <w:t xml:space="preserve"> nettó</w:t>
      </w:r>
      <w:r w:rsidRPr="00D40DC4">
        <w:t xml:space="preserve"> bevétellel</w:t>
      </w:r>
      <w:r w:rsidR="00657272" w:rsidRPr="00D40DC4">
        <w:t>, illetve a</w:t>
      </w:r>
      <w:r w:rsidRPr="00D40DC4">
        <w:t xml:space="preserve"> </w:t>
      </w:r>
      <w:r w:rsidR="00657272" w:rsidRPr="00D40DC4">
        <w:t xml:space="preserve">diszkontált </w:t>
      </w:r>
      <w:r w:rsidRPr="00D40DC4">
        <w:t>működési eredménnyel csökkentett teljes diszkontált beruházási költség (DIC) és a teljes diszkontált beruházási költség hányadosa. A DIC tartalmazza az elszámolható és a nem elszámolható költségeket egyaránt. Maga a számított támogatási összeg a társfinanszírozási ráta és az elszámolható költségek szorzata.</w:t>
      </w:r>
      <w:r w:rsidR="00657272" w:rsidRPr="00D40DC4">
        <w:t xml:space="preserve"> </w:t>
      </w:r>
      <w:r w:rsidR="00A81601" w:rsidRPr="00D40DC4">
        <w:t xml:space="preserve">Az így kapott támogatási összeg </w:t>
      </w:r>
      <w:r w:rsidR="00657272" w:rsidRPr="00D40DC4">
        <w:t xml:space="preserve">az állami támogatási szabály alá eső projektek és a nem állami támogatás szabály alá tartozó nettó bevételt termelő projektek esetén is </w:t>
      </w:r>
      <w:r w:rsidR="00A81601" w:rsidRPr="00D40DC4">
        <w:t xml:space="preserve">megfelel a 272/2014 (XI.5) </w:t>
      </w:r>
      <w:r w:rsidR="00657272" w:rsidRPr="00D40DC4">
        <w:t>K</w:t>
      </w:r>
      <w:r w:rsidR="00A81601" w:rsidRPr="00D40DC4">
        <w:t>orm. rendelet 5 számú melléklet szerinti útmutatójának arányosításra vonatkozó szabályozásának.</w:t>
      </w:r>
      <w:r w:rsidR="00657272" w:rsidRPr="00D40DC4">
        <w:t xml:space="preserve"> A nem elszámolható költségeket teljes egészében saját forrásból kell finanszírozni.</w:t>
      </w:r>
    </w:p>
    <w:p w:rsidR="005F06B0" w:rsidRPr="00D40DC4" w:rsidRDefault="005F06B0" w:rsidP="005A76C2">
      <w:pPr>
        <w:pStyle w:val="Cmsor4"/>
      </w:pPr>
      <w:r w:rsidRPr="00D40DC4">
        <w:t>Támogatási összeg meghatározása nettó bevételt termelő</w:t>
      </w:r>
      <w:r w:rsidR="00A0427E" w:rsidRPr="00D40DC4">
        <w:t>, 1 millió EUR feletti</w:t>
      </w:r>
      <w:r w:rsidRPr="00D40DC4">
        <w:t xml:space="preserve"> projektek esetén</w:t>
      </w:r>
    </w:p>
    <w:p w:rsidR="00656388" w:rsidRPr="00D40DC4" w:rsidRDefault="00656388" w:rsidP="00971400">
      <w:pPr>
        <w:pStyle w:val="Cmsor5"/>
      </w:pPr>
      <w:r w:rsidRPr="00D40DC4">
        <w:t>Támogatási összeg meghatározása a finanszírozási hiány számításával</w:t>
      </w:r>
    </w:p>
    <w:p w:rsidR="00656388" w:rsidRPr="00D40DC4" w:rsidRDefault="00656388" w:rsidP="00656388">
      <w:pPr>
        <w:rPr>
          <w:rFonts w:cs="Arial"/>
        </w:rPr>
      </w:pPr>
      <w:r w:rsidRPr="00D40DC4">
        <w:rPr>
          <w:rFonts w:cs="Arial"/>
        </w:rPr>
        <w:t>A</w:t>
      </w:r>
      <w:r w:rsidR="006B0220" w:rsidRPr="00D40DC4">
        <w:rPr>
          <w:rFonts w:cs="Arial"/>
        </w:rPr>
        <w:t xml:space="preserve"> közcélú, </w:t>
      </w:r>
      <w:r w:rsidRPr="00D40DC4">
        <w:rPr>
          <w:rFonts w:cs="Arial"/>
        </w:rPr>
        <w:t>1 millió EUR feletti beruházási költségű</w:t>
      </w:r>
      <w:r w:rsidR="006B0220" w:rsidRPr="00D40DC4">
        <w:rPr>
          <w:rFonts w:cs="Arial"/>
        </w:rPr>
        <w:t xml:space="preserve"> ill.</w:t>
      </w:r>
      <w:r w:rsidR="007E1088" w:rsidRPr="00D40DC4">
        <w:rPr>
          <w:rFonts w:cs="Arial"/>
        </w:rPr>
        <w:t>,</w:t>
      </w:r>
      <w:r w:rsidRPr="00D40DC4">
        <w:rPr>
          <w:rFonts w:cs="Arial"/>
        </w:rPr>
        <w:t xml:space="preserve"> nettó bevételt </w:t>
      </w:r>
      <w:r w:rsidR="006B0220" w:rsidRPr="00D40DC4">
        <w:rPr>
          <w:rFonts w:cs="Arial"/>
        </w:rPr>
        <w:t xml:space="preserve">termelő projektek esetében </w:t>
      </w:r>
      <w:r w:rsidR="00A0427E" w:rsidRPr="00D40DC4">
        <w:rPr>
          <w:rFonts w:cs="Arial"/>
        </w:rPr>
        <w:t xml:space="preserve">(beleértve az ilyen </w:t>
      </w:r>
      <w:r w:rsidR="006B0220" w:rsidRPr="00D40DC4">
        <w:rPr>
          <w:rFonts w:cs="Arial"/>
        </w:rPr>
        <w:t>nagyprojektek</w:t>
      </w:r>
      <w:r w:rsidR="00A0427E" w:rsidRPr="00D40DC4">
        <w:rPr>
          <w:rFonts w:cs="Arial"/>
        </w:rPr>
        <w:t>et is)</w:t>
      </w:r>
      <w:r w:rsidR="006B0220" w:rsidRPr="00D40DC4">
        <w:rPr>
          <w:rFonts w:cs="Arial"/>
        </w:rPr>
        <w:t>, lehetőség van</w:t>
      </w:r>
      <w:r w:rsidR="007E1088" w:rsidRPr="00D40DC4">
        <w:rPr>
          <w:rFonts w:cs="Arial"/>
        </w:rPr>
        <w:t xml:space="preserve"> a támogatás összegét </w:t>
      </w:r>
      <w:r w:rsidRPr="00D40DC4">
        <w:rPr>
          <w:rFonts w:cs="Arial"/>
        </w:rPr>
        <w:t xml:space="preserve">a finanszírozási hiány </w:t>
      </w:r>
      <w:r w:rsidR="006B0220" w:rsidRPr="00D40DC4">
        <w:rPr>
          <w:rFonts w:cs="Arial"/>
        </w:rPr>
        <w:t>alapján történő meghatározására.</w:t>
      </w:r>
    </w:p>
    <w:p w:rsidR="00656388" w:rsidRPr="00D40DC4" w:rsidRDefault="00656388" w:rsidP="00656388">
      <w:pPr>
        <w:rPr>
          <w:rFonts w:cs="Arial"/>
        </w:rPr>
      </w:pPr>
      <w:r w:rsidRPr="00D40DC4">
        <w:rPr>
          <w:rFonts w:cs="Arial"/>
        </w:rPr>
        <w:t xml:space="preserve">A finanszírozási hiány számításánál </w:t>
      </w:r>
    </w:p>
    <w:p w:rsidR="00656388" w:rsidRPr="00D40DC4" w:rsidRDefault="00656388" w:rsidP="006F2748">
      <w:pPr>
        <w:numPr>
          <w:ilvl w:val="0"/>
          <w:numId w:val="40"/>
        </w:numPr>
      </w:pPr>
      <w:r w:rsidRPr="00D40DC4">
        <w:t>semmilyen támogatás nem vehető figyelembe,</w:t>
      </w:r>
    </w:p>
    <w:p w:rsidR="00656388" w:rsidRPr="00D40DC4" w:rsidRDefault="00656388" w:rsidP="006F2748">
      <w:pPr>
        <w:numPr>
          <w:ilvl w:val="0"/>
          <w:numId w:val="40"/>
        </w:numPr>
      </w:pPr>
      <w:r w:rsidRPr="00D40DC4">
        <w:t>a költségek és bevételek veendők figyelembe, az Egyéb bejövő pénzáramok nem.</w:t>
      </w:r>
      <w:r w:rsidRPr="00D40DC4" w:rsidDel="008620F4">
        <w:t xml:space="preserve"> </w:t>
      </w:r>
    </w:p>
    <w:p w:rsidR="00656388" w:rsidRPr="00D40DC4" w:rsidRDefault="007E1088" w:rsidP="00656388">
      <w:pPr>
        <w:rPr>
          <w:rFonts w:cs="Arial"/>
        </w:rPr>
      </w:pPr>
      <w:r w:rsidRPr="00D40DC4">
        <w:rPr>
          <w:rFonts w:cs="Arial"/>
        </w:rPr>
        <w:t>Az Európai Parlament és a Tanács 1303/2013/EU rendelete alapján,</w:t>
      </w:r>
      <w:r w:rsidR="00656388" w:rsidRPr="00D40DC4">
        <w:rPr>
          <w:rFonts w:cs="Arial"/>
        </w:rPr>
        <w:t xml:space="preserve"> </w:t>
      </w:r>
      <w:r w:rsidRPr="00D40DC4">
        <w:rPr>
          <w:rFonts w:cs="Arial"/>
        </w:rPr>
        <w:t>a</w:t>
      </w:r>
      <w:r w:rsidR="00656388" w:rsidRPr="00D40DC4">
        <w:rPr>
          <w:rFonts w:cs="Arial"/>
        </w:rPr>
        <w:t>mennyiben a működési költségmegtakarítás teljes egészében levonásra kerül a működési támogatásokból, abban az esetben a működési költség megtakarítást nem kell figyelembe venni a finanszírozási hiány számításnál. Ezt az intézményi fejezetben leírtakkal összhangban a túlkompenzációs számítás részeként részletesen be kell mutatni.</w:t>
      </w:r>
    </w:p>
    <w:p w:rsidR="00E7458E" w:rsidRPr="00D40DC4" w:rsidRDefault="002C4DE0" w:rsidP="00D20F91">
      <w:pPr>
        <w:pStyle w:val="Tblzat"/>
      </w:pPr>
      <w:r>
        <w:fldChar w:fldCharType="begin"/>
      </w:r>
      <w:r>
        <w:instrText xml:space="preserve"> SEQ táblázat \* ARABIC </w:instrText>
      </w:r>
      <w:r>
        <w:fldChar w:fldCharType="separate"/>
      </w:r>
      <w:bookmarkStart w:id="628" w:name="_Toc436923955"/>
      <w:r w:rsidR="007B4938" w:rsidRPr="00D40DC4">
        <w:rPr>
          <w:noProof/>
        </w:rPr>
        <w:t>22</w:t>
      </w:r>
      <w:r>
        <w:rPr>
          <w:noProof/>
        </w:rPr>
        <w:fldChar w:fldCharType="end"/>
      </w:r>
      <w:r w:rsidR="00656388" w:rsidRPr="00D40DC4">
        <w:t xml:space="preserve">. </w:t>
      </w:r>
      <w:r w:rsidR="004140EB" w:rsidRPr="00D40DC4">
        <w:t>táblázat: A támogatás számítása</w:t>
      </w:r>
      <w:r w:rsidR="00E7458E" w:rsidRPr="00D40DC4">
        <w:t xml:space="preserve"> </w:t>
      </w:r>
      <w:r w:rsidR="006368E5" w:rsidRPr="00D40DC4">
        <w:t>nettó bevételt termelő, 1 millió EUR feletti projektek esetén</w:t>
      </w:r>
      <w:bookmarkEnd w:id="628"/>
    </w:p>
    <w:tbl>
      <w:tblPr>
        <w:tblW w:w="4613" w:type="pct"/>
        <w:tblLayout w:type="fixed"/>
        <w:tblCellMar>
          <w:left w:w="70" w:type="dxa"/>
          <w:right w:w="70" w:type="dxa"/>
        </w:tblCellMar>
        <w:tblLook w:val="0000" w:firstRow="0" w:lastRow="0" w:firstColumn="0" w:lastColumn="0" w:noHBand="0" w:noVBand="0"/>
      </w:tblPr>
      <w:tblGrid>
        <w:gridCol w:w="3181"/>
        <w:gridCol w:w="1572"/>
        <w:gridCol w:w="1873"/>
        <w:gridCol w:w="1873"/>
      </w:tblGrid>
      <w:tr w:rsidR="00E7458E" w:rsidRPr="00D40DC4" w:rsidTr="00971400">
        <w:trPr>
          <w:cantSplit/>
          <w:trHeight w:val="255"/>
          <w:tblHeader/>
        </w:trPr>
        <w:tc>
          <w:tcPr>
            <w:tcW w:w="1871"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lastRenderedPageBreak/>
              <w:t>Megnevezés</w:t>
            </w:r>
          </w:p>
        </w:tc>
        <w:tc>
          <w:tcPr>
            <w:tcW w:w="925" w:type="pct"/>
            <w:tcBorders>
              <w:top w:val="single" w:sz="4" w:space="0" w:color="auto"/>
              <w:left w:val="nil"/>
              <w:bottom w:val="single" w:sz="4" w:space="0" w:color="auto"/>
              <w:right w:val="single" w:sz="4" w:space="0" w:color="auto"/>
            </w:tcBorders>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w:t>
            </w:r>
          </w:p>
        </w:tc>
        <w:tc>
          <w:tcPr>
            <w:tcW w:w="1102" w:type="pct"/>
            <w:tcBorders>
              <w:top w:val="single" w:sz="4" w:space="0" w:color="auto"/>
              <w:left w:val="nil"/>
              <w:bottom w:val="single" w:sz="4" w:space="0" w:color="auto"/>
              <w:right w:val="single" w:sz="4" w:space="0" w:color="auto"/>
            </w:tcBorders>
            <w:shd w:val="clear" w:color="auto" w:fill="99CCFF"/>
            <w:vAlign w:val="center"/>
          </w:tcPr>
          <w:p w:rsidR="00E7458E" w:rsidRPr="00D40DC4" w:rsidRDefault="00E7458E" w:rsidP="00583B66">
            <w:pPr>
              <w:spacing w:after="0"/>
              <w:jc w:val="center"/>
              <w:rPr>
                <w:rFonts w:cs="Arial"/>
                <w:b/>
                <w:szCs w:val="20"/>
              </w:rPr>
            </w:pPr>
            <w:r w:rsidRPr="00D40DC4">
              <w:rPr>
                <w:rFonts w:cs="Arial"/>
                <w:b/>
                <w:szCs w:val="20"/>
              </w:rPr>
              <w:t>Ft</w:t>
            </w:r>
          </w:p>
        </w:tc>
        <w:tc>
          <w:tcPr>
            <w:tcW w:w="1102" w:type="pct"/>
            <w:tcBorders>
              <w:top w:val="single" w:sz="4" w:space="0" w:color="auto"/>
              <w:left w:val="nil"/>
              <w:bottom w:val="single" w:sz="4" w:space="0" w:color="auto"/>
              <w:right w:val="single" w:sz="4" w:space="0" w:color="auto"/>
            </w:tcBorders>
            <w:shd w:val="clear" w:color="auto" w:fill="99CCFF"/>
          </w:tcPr>
          <w:p w:rsidR="00E7458E" w:rsidRPr="00D40DC4" w:rsidRDefault="00E7458E" w:rsidP="00583B66">
            <w:pPr>
              <w:spacing w:after="0"/>
              <w:jc w:val="center"/>
              <w:rPr>
                <w:rFonts w:cs="Arial"/>
                <w:b/>
                <w:szCs w:val="20"/>
              </w:rPr>
            </w:pPr>
            <w:r w:rsidRPr="00D40DC4">
              <w:rPr>
                <w:rFonts w:cs="Arial"/>
                <w:b/>
                <w:szCs w:val="20"/>
              </w:rPr>
              <w:t>euro</w:t>
            </w: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Diszkontált beruházási költség (DIC)</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Diszkontált pénzügyi bevétel (a)</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Diszkontált üzemeltetési és karbantartási költség (b)</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Diszkontált pótlási költség (c)</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Diszkontált maradványérték (d)</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b/>
                <w:szCs w:val="20"/>
              </w:rPr>
            </w:pPr>
            <w:r w:rsidRPr="00D40DC4">
              <w:rPr>
                <w:b/>
              </w:rPr>
              <w:t>Diszkontált nettó bevétel (DNR = a-b-c+d</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b/>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b/>
                <w:szCs w:val="20"/>
              </w:rPr>
            </w:pPr>
            <w:r w:rsidRPr="00D40DC4">
              <w:rPr>
                <w:b/>
              </w:rPr>
              <w:t>Elszámolható ráfordítás maximuma (Max EE=DIC-DNR)</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b/>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Finanszírozási hiány ráta (R=MaxEE/DIC=1-DNR/DIC)</w:t>
            </w:r>
          </w:p>
        </w:tc>
        <w:tc>
          <w:tcPr>
            <w:tcW w:w="925" w:type="pct"/>
            <w:tcBorders>
              <w:top w:val="nil"/>
              <w:left w:val="nil"/>
              <w:bottom w:val="single" w:sz="4" w:space="0" w:color="auto"/>
              <w:right w:val="single" w:sz="4" w:space="0" w:color="auto"/>
            </w:tcBorders>
            <w:shd w:val="clear" w:color="auto" w:fill="auto"/>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shd w:val="clear" w:color="auto" w:fill="808080" w:themeFill="background1" w:themeFillShade="80"/>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shd w:val="clear" w:color="auto" w:fill="808080" w:themeFill="background1" w:themeFillShade="80"/>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Elszámolható költség (EC)</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pPr>
            <w:r w:rsidRPr="00D40DC4">
              <w:t>Nem elszámolható költség</w:t>
            </w:r>
            <w:r w:rsidR="00777965" w:rsidRPr="00D40DC4">
              <w:t xml:space="preserve"> (NEC)</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pPr>
              <w:spacing w:after="0"/>
              <w:rPr>
                <w:rFonts w:cs="Arial"/>
                <w:b/>
                <w:szCs w:val="20"/>
              </w:rPr>
            </w:pPr>
            <w:r w:rsidRPr="00D40DC4">
              <w:rPr>
                <w:b/>
              </w:rPr>
              <w:t>Döntési összeg</w:t>
            </w:r>
            <w:r w:rsidR="00777965" w:rsidRPr="00D40DC4">
              <w:rPr>
                <w:b/>
              </w:rPr>
              <w:t>, azaz</w:t>
            </w:r>
            <w:r w:rsidRPr="00D40DC4">
              <w:rPr>
                <w:b/>
              </w:rPr>
              <w:t xml:space="preserve"> OP támogatás, (DA=EC*R, de nem lehet magasabb a támogatási konstrukcióra vonatkozó maximális támogatási aránynál)</w:t>
            </w:r>
          </w:p>
        </w:tc>
        <w:tc>
          <w:tcPr>
            <w:tcW w:w="925" w:type="pct"/>
            <w:tcBorders>
              <w:top w:val="nil"/>
              <w:left w:val="nil"/>
              <w:bottom w:val="single" w:sz="4" w:space="0" w:color="auto"/>
              <w:right w:val="single" w:sz="4" w:space="0" w:color="auto"/>
            </w:tcBorders>
            <w:shd w:val="clear" w:color="auto" w:fill="auto"/>
            <w:noWrap/>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b/>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b/>
                <w:szCs w:val="20"/>
              </w:rPr>
            </w:pPr>
          </w:p>
        </w:tc>
      </w:tr>
      <w:tr w:rsidR="00777965" w:rsidRPr="00D40DC4" w:rsidTr="00777965">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b/>
                <w:szCs w:val="20"/>
              </w:rPr>
            </w:pPr>
            <w:r w:rsidRPr="00D40DC4">
              <w:rPr>
                <w:b/>
              </w:rPr>
              <w:t>Kedvezményezett hozzájárulása (=EC-DA+NEC)</w:t>
            </w:r>
          </w:p>
        </w:tc>
        <w:tc>
          <w:tcPr>
            <w:tcW w:w="925" w:type="pct"/>
            <w:tcBorders>
              <w:top w:val="nil"/>
              <w:left w:val="nil"/>
              <w:bottom w:val="single" w:sz="4" w:space="0" w:color="auto"/>
              <w:right w:val="single" w:sz="4" w:space="0" w:color="auto"/>
            </w:tcBorders>
            <w:shd w:val="clear" w:color="auto" w:fill="auto"/>
            <w:noWrap/>
            <w:vAlign w:val="bottom"/>
          </w:tcPr>
          <w:p w:rsidR="00777965" w:rsidRPr="00D40DC4" w:rsidRDefault="00777965" w:rsidP="0095222C">
            <w:pPr>
              <w:spacing w:after="0"/>
              <w:rPr>
                <w:rFonts w:cs="Arial"/>
                <w:b/>
                <w:szCs w:val="20"/>
              </w:rPr>
            </w:pPr>
          </w:p>
        </w:tc>
        <w:tc>
          <w:tcPr>
            <w:tcW w:w="1102"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b/>
                <w:szCs w:val="20"/>
              </w:rPr>
            </w:pPr>
          </w:p>
        </w:tc>
        <w:tc>
          <w:tcPr>
            <w:tcW w:w="1102"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b/>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Prioritási tengelyre vonatkozó maximális társfinanszírozási ráta (Max CRpa)</w:t>
            </w:r>
            <w:r w:rsidR="006368E5" w:rsidRPr="00D40DC4">
              <w:t>*</w:t>
            </w:r>
          </w:p>
        </w:tc>
        <w:tc>
          <w:tcPr>
            <w:tcW w:w="925" w:type="pct"/>
            <w:tcBorders>
              <w:top w:val="nil"/>
              <w:left w:val="nil"/>
              <w:bottom w:val="single" w:sz="4" w:space="0" w:color="auto"/>
              <w:right w:val="single" w:sz="4" w:space="0" w:color="auto"/>
            </w:tcBorders>
            <w:shd w:val="clear" w:color="auto" w:fill="auto"/>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EU támogatás (=DA*max CRpa)</w:t>
            </w:r>
            <w:r w:rsidR="00777965" w:rsidRPr="00D40DC4">
              <w:t>*</w:t>
            </w:r>
          </w:p>
        </w:tc>
        <w:tc>
          <w:tcPr>
            <w:tcW w:w="925" w:type="pct"/>
            <w:tcBorders>
              <w:top w:val="nil"/>
              <w:left w:val="nil"/>
              <w:bottom w:val="single" w:sz="4" w:space="0" w:color="auto"/>
              <w:right w:val="single" w:sz="4" w:space="0" w:color="auto"/>
            </w:tcBorders>
            <w:shd w:val="clear" w:color="auto" w:fill="auto"/>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r w:rsidR="00E7458E" w:rsidRPr="00D40DC4" w:rsidTr="00971400">
        <w:trPr>
          <w:cantSplit/>
          <w:trHeight w:val="255"/>
        </w:trPr>
        <w:tc>
          <w:tcPr>
            <w:tcW w:w="1871"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Összes nemzeti hozzájárulás (összes beruházási költség – EU támogatás)</w:t>
            </w:r>
            <w:r w:rsidR="006368E5" w:rsidRPr="00D40DC4">
              <w:t>*</w:t>
            </w:r>
          </w:p>
        </w:tc>
        <w:tc>
          <w:tcPr>
            <w:tcW w:w="925"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vAlign w:val="bottom"/>
          </w:tcPr>
          <w:p w:rsidR="00E7458E" w:rsidRPr="00D40DC4" w:rsidRDefault="00E7458E" w:rsidP="00583B66">
            <w:pPr>
              <w:spacing w:after="0"/>
              <w:rPr>
                <w:rFonts w:cs="Arial"/>
                <w:szCs w:val="20"/>
              </w:rPr>
            </w:pPr>
          </w:p>
        </w:tc>
        <w:tc>
          <w:tcPr>
            <w:tcW w:w="1102" w:type="pct"/>
            <w:tcBorders>
              <w:top w:val="single" w:sz="4" w:space="0" w:color="auto"/>
              <w:left w:val="nil"/>
              <w:bottom w:val="single" w:sz="4" w:space="0" w:color="auto"/>
              <w:right w:val="single" w:sz="4" w:space="0" w:color="auto"/>
            </w:tcBorders>
          </w:tcPr>
          <w:p w:rsidR="00E7458E" w:rsidRPr="00D40DC4" w:rsidRDefault="00E7458E" w:rsidP="00583B66">
            <w:pPr>
              <w:spacing w:after="0"/>
              <w:rPr>
                <w:rFonts w:cs="Arial"/>
                <w:szCs w:val="20"/>
              </w:rPr>
            </w:pPr>
          </w:p>
        </w:tc>
      </w:tr>
    </w:tbl>
    <w:p w:rsidR="00656388" w:rsidRPr="00D40DC4" w:rsidRDefault="006368E5" w:rsidP="00971400">
      <w:r w:rsidRPr="00D40DC4">
        <w:t>* Csak nagyprojektnél kell kitölteni</w:t>
      </w:r>
    </w:p>
    <w:p w:rsidR="004140EB" w:rsidRPr="00D40DC4" w:rsidRDefault="004140EB">
      <w:pPr>
        <w:pStyle w:val="Cmsor5"/>
      </w:pPr>
      <w:r w:rsidRPr="00D40DC4">
        <w:t>Támogatási összeg meghatározása a nettó bevétel százalékban meghatározott átalán</w:t>
      </w:r>
      <w:r w:rsidR="00D8219E" w:rsidRPr="00D40DC4">
        <w:t>ny</w:t>
      </w:r>
      <w:r w:rsidRPr="00D40DC4">
        <w:t>al</w:t>
      </w:r>
    </w:p>
    <w:p w:rsidR="004140EB" w:rsidRPr="00D40DC4" w:rsidRDefault="004140EB" w:rsidP="00656388">
      <w:r w:rsidRPr="00D40DC4">
        <w:t>Az 1 millió EUR feletti</w:t>
      </w:r>
      <w:r w:rsidR="006B0220" w:rsidRPr="00D40DC4">
        <w:t>, közcélú,</w:t>
      </w:r>
      <w:r w:rsidRPr="00D40DC4">
        <w:t xml:space="preserve"> nettó bevétel termelő projekteknél </w:t>
      </w:r>
      <w:r w:rsidR="00A0427E" w:rsidRPr="00D40DC4">
        <w:rPr>
          <w:rFonts w:cs="Arial"/>
        </w:rPr>
        <w:t xml:space="preserve">(beleértve az ilyen nagyprojekteket is) </w:t>
      </w:r>
      <w:r w:rsidRPr="00D40DC4">
        <w:t xml:space="preserve">lehetőség nyílik a támogatási összeg jogszabályban rögzített átalánnyal történő meghatározására. Az átalányokat </w:t>
      </w:r>
      <w:r w:rsidR="00E94DFE" w:rsidRPr="00D40DC4">
        <w:t xml:space="preserve">ágazatonkénti bontásban </w:t>
      </w:r>
      <w:r w:rsidRPr="00D40DC4">
        <w:t>az Európai Parlament és a Bizottság 1303/2013/EU</w:t>
      </w:r>
      <w:r w:rsidR="00E94DFE" w:rsidRPr="00D40DC4">
        <w:t xml:space="preserve"> rendeletének V. melléklete tartalmazza.</w:t>
      </w:r>
      <w:r w:rsidR="00D8219E" w:rsidRPr="00D40DC4">
        <w:t xml:space="preserve"> </w:t>
      </w:r>
    </w:p>
    <w:p w:rsidR="00E94DFE" w:rsidRPr="00D40DC4" w:rsidRDefault="00E94DFE"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629" w:name="_Toc436923956"/>
      <w:r w:rsidR="007B4938" w:rsidRPr="00D40DC4">
        <w:rPr>
          <w:noProof/>
        </w:rPr>
        <w:t>23</w:t>
      </w:r>
      <w:r w:rsidRPr="00D40DC4">
        <w:rPr>
          <w:noProof/>
        </w:rPr>
        <w:fldChar w:fldCharType="end"/>
      </w:r>
      <w:r w:rsidRPr="00D40DC4">
        <w:rPr>
          <w:noProof/>
        </w:rPr>
        <w:t>. táblázat: A támogatási összeg meghatározásához szükséges ágazati átalányok</w:t>
      </w:r>
      <w:bookmarkEnd w:id="6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2"/>
        <w:gridCol w:w="4096"/>
      </w:tblGrid>
      <w:tr w:rsidR="00E94DFE" w:rsidRPr="00D40DC4" w:rsidTr="009D0109">
        <w:trPr>
          <w:cantSplit/>
        </w:trPr>
        <w:tc>
          <w:tcPr>
            <w:tcW w:w="2795" w:type="pct"/>
            <w:shd w:val="clear" w:color="auto" w:fill="99CCFF"/>
          </w:tcPr>
          <w:p w:rsidR="00E94DFE" w:rsidRPr="00D40DC4" w:rsidRDefault="00E94DFE" w:rsidP="00E94DFE">
            <w:pPr>
              <w:spacing w:after="0"/>
              <w:jc w:val="center"/>
              <w:rPr>
                <w:rFonts w:cs="Arial"/>
                <w:b/>
                <w:bCs/>
              </w:rPr>
            </w:pPr>
            <w:r w:rsidRPr="00D40DC4">
              <w:rPr>
                <w:rFonts w:cs="Arial"/>
                <w:b/>
                <w:bCs/>
              </w:rPr>
              <w:t>Ágazat</w:t>
            </w:r>
          </w:p>
        </w:tc>
        <w:tc>
          <w:tcPr>
            <w:tcW w:w="2205" w:type="pct"/>
            <w:shd w:val="clear" w:color="auto" w:fill="99CCFF"/>
          </w:tcPr>
          <w:p w:rsidR="00E94DFE" w:rsidRPr="00D40DC4" w:rsidRDefault="00E94DFE" w:rsidP="00E94DFE">
            <w:pPr>
              <w:spacing w:after="0"/>
              <w:jc w:val="center"/>
              <w:rPr>
                <w:rFonts w:cs="Arial"/>
                <w:b/>
                <w:bCs/>
              </w:rPr>
            </w:pPr>
            <w:r w:rsidRPr="00D40DC4">
              <w:rPr>
                <w:rFonts w:cs="Arial"/>
                <w:b/>
                <w:bCs/>
              </w:rPr>
              <w:t>Átalány</w:t>
            </w:r>
          </w:p>
        </w:tc>
      </w:tr>
      <w:tr w:rsidR="00E94DFE" w:rsidRPr="00D40DC4" w:rsidTr="009D0109">
        <w:trPr>
          <w:cantSplit/>
        </w:trPr>
        <w:tc>
          <w:tcPr>
            <w:tcW w:w="2795" w:type="pct"/>
          </w:tcPr>
          <w:p w:rsidR="00E94DFE" w:rsidRPr="00D40DC4" w:rsidRDefault="00E94DFE" w:rsidP="00E94DFE">
            <w:pPr>
              <w:spacing w:after="0"/>
              <w:rPr>
                <w:rFonts w:cs="Arial"/>
                <w:bCs/>
              </w:rPr>
            </w:pPr>
            <w:r w:rsidRPr="00D40DC4">
              <w:rPr>
                <w:rFonts w:cs="Arial"/>
                <w:bCs/>
              </w:rPr>
              <w:t>Közút</w:t>
            </w:r>
          </w:p>
        </w:tc>
        <w:tc>
          <w:tcPr>
            <w:tcW w:w="2205" w:type="pct"/>
          </w:tcPr>
          <w:p w:rsidR="00E94DFE" w:rsidRPr="00D40DC4" w:rsidRDefault="00E94DFE" w:rsidP="00E94DFE">
            <w:pPr>
              <w:spacing w:after="0"/>
              <w:jc w:val="center"/>
              <w:rPr>
                <w:rFonts w:cs="Arial"/>
              </w:rPr>
            </w:pPr>
            <w:r w:rsidRPr="00D40DC4">
              <w:rPr>
                <w:rFonts w:cs="Arial"/>
              </w:rPr>
              <w:t>30%</w:t>
            </w:r>
          </w:p>
        </w:tc>
      </w:tr>
      <w:tr w:rsidR="00E94DFE" w:rsidRPr="00D40DC4" w:rsidTr="009D0109">
        <w:trPr>
          <w:cantSplit/>
        </w:trPr>
        <w:tc>
          <w:tcPr>
            <w:tcW w:w="2795" w:type="pct"/>
          </w:tcPr>
          <w:p w:rsidR="00E94DFE" w:rsidRPr="00D40DC4" w:rsidRDefault="00E94DFE" w:rsidP="00E94DFE">
            <w:pPr>
              <w:spacing w:after="0"/>
              <w:rPr>
                <w:rFonts w:cs="Arial"/>
                <w:bCs/>
              </w:rPr>
            </w:pPr>
            <w:r w:rsidRPr="00D40DC4">
              <w:rPr>
                <w:rFonts w:cs="Arial"/>
                <w:bCs/>
              </w:rPr>
              <w:t>Vasút</w:t>
            </w:r>
          </w:p>
        </w:tc>
        <w:tc>
          <w:tcPr>
            <w:tcW w:w="2205" w:type="pct"/>
          </w:tcPr>
          <w:p w:rsidR="00E94DFE" w:rsidRPr="00D40DC4" w:rsidRDefault="00E94DFE" w:rsidP="00E94DFE">
            <w:pPr>
              <w:spacing w:after="0"/>
              <w:jc w:val="center"/>
              <w:rPr>
                <w:rFonts w:cs="Arial"/>
              </w:rPr>
            </w:pPr>
            <w:r w:rsidRPr="00D40DC4">
              <w:rPr>
                <w:rFonts w:cs="Arial"/>
              </w:rPr>
              <w:t>20%</w:t>
            </w:r>
          </w:p>
        </w:tc>
      </w:tr>
      <w:tr w:rsidR="00E94DFE" w:rsidRPr="00D40DC4" w:rsidTr="009D0109">
        <w:trPr>
          <w:cantSplit/>
        </w:trPr>
        <w:tc>
          <w:tcPr>
            <w:tcW w:w="2795" w:type="pct"/>
          </w:tcPr>
          <w:p w:rsidR="00E94DFE" w:rsidRPr="00D40DC4" w:rsidRDefault="00E94DFE" w:rsidP="00E94DFE">
            <w:pPr>
              <w:spacing w:after="0"/>
              <w:rPr>
                <w:rFonts w:cs="Arial"/>
                <w:bCs/>
              </w:rPr>
            </w:pPr>
            <w:r w:rsidRPr="00D40DC4">
              <w:rPr>
                <w:rFonts w:cs="Arial"/>
                <w:bCs/>
              </w:rPr>
              <w:t>Városi közlekedés</w:t>
            </w:r>
          </w:p>
        </w:tc>
        <w:tc>
          <w:tcPr>
            <w:tcW w:w="2205" w:type="pct"/>
          </w:tcPr>
          <w:p w:rsidR="00E94DFE" w:rsidRPr="00D40DC4" w:rsidRDefault="00E94DFE" w:rsidP="00E94DFE">
            <w:pPr>
              <w:spacing w:after="0"/>
              <w:jc w:val="center"/>
              <w:rPr>
                <w:rFonts w:cs="Arial"/>
              </w:rPr>
            </w:pPr>
            <w:r w:rsidRPr="00D40DC4">
              <w:rPr>
                <w:rFonts w:cs="Arial"/>
              </w:rPr>
              <w:t>20%</w:t>
            </w:r>
          </w:p>
        </w:tc>
      </w:tr>
      <w:tr w:rsidR="00E94DFE" w:rsidRPr="00D40DC4" w:rsidTr="009D0109">
        <w:trPr>
          <w:cantSplit/>
        </w:trPr>
        <w:tc>
          <w:tcPr>
            <w:tcW w:w="2795" w:type="pct"/>
          </w:tcPr>
          <w:p w:rsidR="00E94DFE" w:rsidRPr="00D40DC4" w:rsidRDefault="00E94DFE" w:rsidP="00E94DFE">
            <w:pPr>
              <w:spacing w:after="0"/>
              <w:rPr>
                <w:rFonts w:cs="Arial"/>
                <w:bCs/>
              </w:rPr>
            </w:pPr>
            <w:r w:rsidRPr="00D40DC4">
              <w:rPr>
                <w:rFonts w:cs="Arial"/>
                <w:bCs/>
              </w:rPr>
              <w:t>Víz</w:t>
            </w:r>
          </w:p>
        </w:tc>
        <w:tc>
          <w:tcPr>
            <w:tcW w:w="2205" w:type="pct"/>
          </w:tcPr>
          <w:p w:rsidR="00E94DFE" w:rsidRPr="00D40DC4" w:rsidRDefault="00E94DFE" w:rsidP="00E94DFE">
            <w:pPr>
              <w:spacing w:after="0"/>
              <w:jc w:val="center"/>
              <w:rPr>
                <w:rFonts w:cs="Arial"/>
              </w:rPr>
            </w:pPr>
            <w:r w:rsidRPr="00D40DC4">
              <w:rPr>
                <w:rFonts w:cs="Arial"/>
              </w:rPr>
              <w:t>25%</w:t>
            </w:r>
          </w:p>
        </w:tc>
      </w:tr>
      <w:tr w:rsidR="00E94DFE" w:rsidRPr="00D40DC4" w:rsidTr="009D0109">
        <w:trPr>
          <w:cantSplit/>
        </w:trPr>
        <w:tc>
          <w:tcPr>
            <w:tcW w:w="2795" w:type="pct"/>
          </w:tcPr>
          <w:p w:rsidR="00E94DFE" w:rsidRPr="00D40DC4" w:rsidRDefault="00E94DFE" w:rsidP="00E94DFE">
            <w:pPr>
              <w:spacing w:after="0"/>
              <w:rPr>
                <w:rFonts w:cs="Arial"/>
                <w:bCs/>
              </w:rPr>
            </w:pPr>
            <w:r w:rsidRPr="00D40DC4">
              <w:rPr>
                <w:rFonts w:cs="Arial"/>
                <w:bCs/>
              </w:rPr>
              <w:t>Szilárd hulladék</w:t>
            </w:r>
          </w:p>
        </w:tc>
        <w:tc>
          <w:tcPr>
            <w:tcW w:w="2205" w:type="pct"/>
          </w:tcPr>
          <w:p w:rsidR="00E94DFE" w:rsidRPr="00D40DC4" w:rsidRDefault="00E94DFE" w:rsidP="00E94DFE">
            <w:pPr>
              <w:keepNext/>
              <w:spacing w:after="0"/>
              <w:jc w:val="center"/>
              <w:rPr>
                <w:rFonts w:cs="Arial"/>
              </w:rPr>
            </w:pPr>
            <w:r w:rsidRPr="00D40DC4">
              <w:rPr>
                <w:rFonts w:cs="Arial"/>
              </w:rPr>
              <w:t>20%</w:t>
            </w:r>
          </w:p>
        </w:tc>
      </w:tr>
    </w:tbl>
    <w:p w:rsidR="00E94DFE" w:rsidRPr="00D40DC4" w:rsidRDefault="00E94DFE" w:rsidP="00656388"/>
    <w:p w:rsidR="00E94DFE" w:rsidRPr="00D40DC4" w:rsidRDefault="00E94DFE"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630" w:name="_Toc436923957"/>
      <w:r w:rsidR="007B4938" w:rsidRPr="00D40DC4">
        <w:rPr>
          <w:noProof/>
        </w:rPr>
        <w:t>24</w:t>
      </w:r>
      <w:r w:rsidRPr="00D40DC4">
        <w:rPr>
          <w:noProof/>
        </w:rPr>
        <w:fldChar w:fldCharType="end"/>
      </w:r>
      <w:r w:rsidRPr="00D40DC4">
        <w:rPr>
          <w:noProof/>
        </w:rPr>
        <w:t>. táblázat: A támogatási összeg meghatározása átalánnyal</w:t>
      </w:r>
      <w:bookmarkEnd w:id="630"/>
    </w:p>
    <w:tbl>
      <w:tblPr>
        <w:tblW w:w="4616" w:type="pct"/>
        <w:tblInd w:w="-5" w:type="dxa"/>
        <w:tblLayout w:type="fixed"/>
        <w:tblCellMar>
          <w:left w:w="70" w:type="dxa"/>
          <w:right w:w="70" w:type="dxa"/>
        </w:tblCellMar>
        <w:tblLook w:val="0000" w:firstRow="0" w:lastRow="0" w:firstColumn="0" w:lastColumn="0" w:noHBand="0" w:noVBand="0"/>
      </w:tblPr>
      <w:tblGrid>
        <w:gridCol w:w="3184"/>
        <w:gridCol w:w="1575"/>
        <w:gridCol w:w="1873"/>
        <w:gridCol w:w="1873"/>
      </w:tblGrid>
      <w:tr w:rsidR="00E7458E" w:rsidRPr="00D40DC4" w:rsidTr="00777965">
        <w:trPr>
          <w:trHeight w:val="255"/>
          <w:tblHeader/>
        </w:trPr>
        <w:tc>
          <w:tcPr>
            <w:tcW w:w="1872"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Megnevezés</w:t>
            </w:r>
          </w:p>
        </w:tc>
        <w:tc>
          <w:tcPr>
            <w:tcW w:w="926" w:type="pct"/>
            <w:tcBorders>
              <w:top w:val="single" w:sz="4" w:space="0" w:color="auto"/>
              <w:left w:val="nil"/>
              <w:bottom w:val="single" w:sz="4" w:space="0" w:color="auto"/>
              <w:right w:val="single" w:sz="4" w:space="0" w:color="auto"/>
            </w:tcBorders>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w:t>
            </w:r>
          </w:p>
        </w:tc>
        <w:tc>
          <w:tcPr>
            <w:tcW w:w="1101" w:type="pct"/>
            <w:tcBorders>
              <w:top w:val="single" w:sz="4" w:space="0" w:color="auto"/>
              <w:left w:val="nil"/>
              <w:bottom w:val="single" w:sz="4" w:space="0" w:color="auto"/>
              <w:right w:val="single" w:sz="4" w:space="0" w:color="auto"/>
            </w:tcBorders>
            <w:shd w:val="clear" w:color="auto" w:fill="99CCFF"/>
            <w:vAlign w:val="center"/>
          </w:tcPr>
          <w:p w:rsidR="00E7458E" w:rsidRPr="00D40DC4" w:rsidRDefault="00E7458E" w:rsidP="00583B66">
            <w:pPr>
              <w:spacing w:after="0"/>
              <w:jc w:val="center"/>
              <w:rPr>
                <w:rFonts w:cs="Arial"/>
                <w:b/>
                <w:szCs w:val="20"/>
              </w:rPr>
            </w:pPr>
            <w:r w:rsidRPr="00D40DC4">
              <w:rPr>
                <w:rFonts w:cs="Arial"/>
                <w:b/>
                <w:szCs w:val="20"/>
              </w:rPr>
              <w:t>Ft</w:t>
            </w:r>
          </w:p>
        </w:tc>
        <w:tc>
          <w:tcPr>
            <w:tcW w:w="1101" w:type="pct"/>
            <w:tcBorders>
              <w:top w:val="single" w:sz="4" w:space="0" w:color="auto"/>
              <w:left w:val="nil"/>
              <w:bottom w:val="single" w:sz="4" w:space="0" w:color="auto"/>
              <w:right w:val="single" w:sz="4" w:space="0" w:color="auto"/>
            </w:tcBorders>
            <w:shd w:val="clear" w:color="auto" w:fill="99CCFF"/>
          </w:tcPr>
          <w:p w:rsidR="00E7458E" w:rsidRPr="00D40DC4" w:rsidRDefault="00E7458E" w:rsidP="00583B66">
            <w:pPr>
              <w:spacing w:after="0"/>
              <w:jc w:val="center"/>
              <w:rPr>
                <w:rFonts w:cs="Arial"/>
                <w:b/>
                <w:szCs w:val="20"/>
              </w:rPr>
            </w:pPr>
            <w:r w:rsidRPr="00D40DC4">
              <w:rPr>
                <w:rFonts w:cs="Arial"/>
                <w:b/>
                <w:szCs w:val="20"/>
              </w:rPr>
              <w:t>euro</w:t>
            </w:r>
          </w:p>
        </w:tc>
      </w:tr>
      <w:tr w:rsidR="00E7458E" w:rsidRPr="00D40DC4" w:rsidTr="00971400">
        <w:trPr>
          <w:trHeight w:val="255"/>
        </w:trPr>
        <w:tc>
          <w:tcPr>
            <w:tcW w:w="1872"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Elszámolható költség (EC)</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auto"/>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auto"/>
          </w:tcPr>
          <w:p w:rsidR="00E7458E" w:rsidRPr="00D40DC4" w:rsidRDefault="00E7458E" w:rsidP="00583B66">
            <w:pPr>
              <w:spacing w:after="0"/>
              <w:rPr>
                <w:rFonts w:cs="Arial"/>
                <w:szCs w:val="20"/>
              </w:rPr>
            </w:pPr>
          </w:p>
        </w:tc>
      </w:tr>
      <w:tr w:rsidR="00E7458E" w:rsidRPr="00D40DC4" w:rsidTr="00971400">
        <w:trPr>
          <w:trHeight w:val="255"/>
        </w:trPr>
        <w:tc>
          <w:tcPr>
            <w:tcW w:w="1872"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pPr>
            <w:r w:rsidRPr="00D40DC4">
              <w:t>Nem elszámolható költség</w:t>
            </w:r>
            <w:r w:rsidR="008B1F1A" w:rsidRPr="00D40DC4">
              <w:t xml:space="preserve"> (NEC)</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auto"/>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auto"/>
          </w:tcPr>
          <w:p w:rsidR="00E7458E" w:rsidRPr="00D40DC4" w:rsidRDefault="00E7458E" w:rsidP="00583B66">
            <w:pPr>
              <w:spacing w:after="0"/>
              <w:rPr>
                <w:rFonts w:cs="Arial"/>
                <w:szCs w:val="20"/>
              </w:rPr>
            </w:pPr>
          </w:p>
        </w:tc>
      </w:tr>
      <w:tr w:rsidR="00E7458E" w:rsidRPr="00D40DC4" w:rsidTr="00971400">
        <w:trPr>
          <w:trHeight w:val="255"/>
        </w:trPr>
        <w:tc>
          <w:tcPr>
            <w:tcW w:w="1872"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szCs w:val="20"/>
              </w:rPr>
            </w:pPr>
            <w:r w:rsidRPr="00D40DC4">
              <w:t>Ágazati átalány (FR)</w:t>
            </w:r>
          </w:p>
        </w:tc>
        <w:tc>
          <w:tcPr>
            <w:tcW w:w="926" w:type="pct"/>
            <w:tcBorders>
              <w:top w:val="nil"/>
              <w:left w:val="nil"/>
              <w:bottom w:val="single" w:sz="4" w:space="0" w:color="auto"/>
              <w:right w:val="single" w:sz="4" w:space="0" w:color="auto"/>
            </w:tcBorders>
            <w:shd w:val="clear" w:color="auto" w:fill="auto"/>
            <w:noWrap/>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808080" w:themeFill="background1" w:themeFillShade="80"/>
            <w:vAlign w:val="bottom"/>
          </w:tcPr>
          <w:p w:rsidR="00E7458E" w:rsidRPr="00D40DC4" w:rsidRDefault="00E7458E" w:rsidP="00583B66">
            <w:pPr>
              <w:spacing w:after="0"/>
              <w:rPr>
                <w:rFonts w:cs="Arial"/>
                <w:szCs w:val="20"/>
              </w:rPr>
            </w:pPr>
          </w:p>
        </w:tc>
        <w:tc>
          <w:tcPr>
            <w:tcW w:w="1101" w:type="pct"/>
            <w:tcBorders>
              <w:top w:val="single" w:sz="4" w:space="0" w:color="auto"/>
              <w:left w:val="nil"/>
              <w:bottom w:val="single" w:sz="4" w:space="0" w:color="auto"/>
              <w:right w:val="single" w:sz="4" w:space="0" w:color="auto"/>
            </w:tcBorders>
            <w:shd w:val="clear" w:color="auto" w:fill="808080" w:themeFill="background1" w:themeFillShade="80"/>
          </w:tcPr>
          <w:p w:rsidR="00E7458E" w:rsidRPr="00D40DC4" w:rsidRDefault="00E7458E" w:rsidP="00583B66">
            <w:pPr>
              <w:spacing w:after="0"/>
              <w:rPr>
                <w:rFonts w:cs="Arial"/>
                <w:szCs w:val="20"/>
              </w:rPr>
            </w:pPr>
          </w:p>
        </w:tc>
      </w:tr>
      <w:tr w:rsidR="00E7458E" w:rsidRPr="00D40DC4" w:rsidTr="00971400">
        <w:trPr>
          <w:trHeight w:val="255"/>
        </w:trPr>
        <w:tc>
          <w:tcPr>
            <w:tcW w:w="1872" w:type="pct"/>
            <w:tcBorders>
              <w:top w:val="nil"/>
              <w:left w:val="single" w:sz="4" w:space="0" w:color="auto"/>
              <w:bottom w:val="single" w:sz="4" w:space="0" w:color="auto"/>
              <w:right w:val="single" w:sz="4" w:space="0" w:color="auto"/>
            </w:tcBorders>
            <w:shd w:val="clear" w:color="auto" w:fill="auto"/>
            <w:noWrap/>
          </w:tcPr>
          <w:p w:rsidR="00E7458E" w:rsidRPr="00D40DC4" w:rsidRDefault="00E7458E" w:rsidP="00583B66">
            <w:pPr>
              <w:spacing w:after="0"/>
              <w:rPr>
                <w:rFonts w:cs="Arial"/>
                <w:b/>
                <w:szCs w:val="20"/>
              </w:rPr>
            </w:pPr>
            <w:r w:rsidRPr="00D40DC4">
              <w:rPr>
                <w:b/>
              </w:rPr>
              <w:t>Döntési összeg</w:t>
            </w:r>
            <w:r w:rsidR="00777965" w:rsidRPr="00D40DC4">
              <w:rPr>
                <w:b/>
              </w:rPr>
              <w:t>, azaz OP támogatás</w:t>
            </w:r>
            <w:r w:rsidRPr="00D40DC4">
              <w:rPr>
                <w:b/>
              </w:rPr>
              <w:t>, (DA=EC*(1-FR))</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E7458E" w:rsidRPr="00D40DC4" w:rsidRDefault="00E7458E" w:rsidP="00583B66">
            <w:pPr>
              <w:spacing w:after="0"/>
              <w:rPr>
                <w:rFonts w:cs="Arial"/>
                <w:b/>
                <w:szCs w:val="20"/>
              </w:rPr>
            </w:pPr>
          </w:p>
        </w:tc>
        <w:tc>
          <w:tcPr>
            <w:tcW w:w="1101" w:type="pct"/>
            <w:tcBorders>
              <w:top w:val="single" w:sz="4" w:space="0" w:color="auto"/>
              <w:left w:val="nil"/>
              <w:bottom w:val="single" w:sz="4" w:space="0" w:color="auto"/>
              <w:right w:val="single" w:sz="4" w:space="0" w:color="auto"/>
            </w:tcBorders>
            <w:shd w:val="clear" w:color="auto" w:fill="auto"/>
            <w:vAlign w:val="bottom"/>
          </w:tcPr>
          <w:p w:rsidR="00E7458E" w:rsidRPr="00D40DC4" w:rsidRDefault="00E7458E" w:rsidP="00583B66">
            <w:pPr>
              <w:spacing w:after="0"/>
              <w:rPr>
                <w:rFonts w:cs="Arial"/>
                <w:b/>
                <w:szCs w:val="20"/>
              </w:rPr>
            </w:pPr>
          </w:p>
        </w:tc>
        <w:tc>
          <w:tcPr>
            <w:tcW w:w="1101" w:type="pct"/>
            <w:tcBorders>
              <w:top w:val="single" w:sz="4" w:space="0" w:color="auto"/>
              <w:left w:val="nil"/>
              <w:bottom w:val="single" w:sz="4" w:space="0" w:color="auto"/>
              <w:right w:val="single" w:sz="4" w:space="0" w:color="auto"/>
            </w:tcBorders>
            <w:shd w:val="clear" w:color="auto" w:fill="auto"/>
          </w:tcPr>
          <w:p w:rsidR="00E7458E" w:rsidRPr="00D40DC4" w:rsidRDefault="00E7458E" w:rsidP="00583B66">
            <w:pPr>
              <w:spacing w:after="0"/>
              <w:rPr>
                <w:rFonts w:cs="Arial"/>
                <w:b/>
                <w:szCs w:val="20"/>
              </w:rPr>
            </w:pPr>
          </w:p>
        </w:tc>
      </w:tr>
      <w:tr w:rsidR="00777965" w:rsidRPr="00D40DC4" w:rsidTr="00971400">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b/>
                <w:szCs w:val="20"/>
              </w:rPr>
            </w:pPr>
            <w:r w:rsidRPr="00D40DC4">
              <w:rPr>
                <w:b/>
              </w:rPr>
              <w:t>Kedvezményezett hozzájárulása (=EC-DA+NEC)</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777965" w:rsidRPr="00D40DC4" w:rsidRDefault="00777965"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b/>
                <w:szCs w:val="20"/>
              </w:rPr>
            </w:pPr>
          </w:p>
        </w:tc>
      </w:tr>
      <w:tr w:rsidR="00777965" w:rsidRPr="00D40DC4" w:rsidTr="00971400">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szCs w:val="20"/>
              </w:rPr>
            </w:pPr>
            <w:r w:rsidRPr="00D40DC4">
              <w:lastRenderedPageBreak/>
              <w:t>Prioritási tengelyre vonatkozó maximális társfinanszírozási ráta (Max CRpa)*</w:t>
            </w:r>
          </w:p>
        </w:tc>
        <w:tc>
          <w:tcPr>
            <w:tcW w:w="926" w:type="pct"/>
            <w:tcBorders>
              <w:top w:val="nil"/>
              <w:left w:val="nil"/>
              <w:bottom w:val="single" w:sz="4" w:space="0" w:color="auto"/>
              <w:right w:val="single" w:sz="4" w:space="0" w:color="auto"/>
            </w:tcBorders>
            <w:shd w:val="clear" w:color="auto" w:fill="auto"/>
            <w:noWrap/>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szCs w:val="20"/>
              </w:rPr>
            </w:pPr>
          </w:p>
        </w:tc>
      </w:tr>
      <w:tr w:rsidR="00777965" w:rsidRPr="00D40DC4" w:rsidTr="00971400">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szCs w:val="20"/>
              </w:rPr>
            </w:pPr>
            <w:r w:rsidRPr="00D40DC4">
              <w:t>EU támogatás (=DA*max CRpa)*</w:t>
            </w:r>
          </w:p>
        </w:tc>
        <w:tc>
          <w:tcPr>
            <w:tcW w:w="926" w:type="pct"/>
            <w:tcBorders>
              <w:top w:val="nil"/>
              <w:left w:val="nil"/>
              <w:bottom w:val="single" w:sz="4" w:space="0" w:color="auto"/>
              <w:right w:val="single" w:sz="4" w:space="0" w:color="auto"/>
            </w:tcBorders>
            <w:shd w:val="clear" w:color="auto" w:fill="auto"/>
            <w:noWrap/>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szCs w:val="20"/>
              </w:rPr>
            </w:pPr>
          </w:p>
        </w:tc>
      </w:tr>
      <w:tr w:rsidR="00777965" w:rsidRPr="00D40DC4" w:rsidTr="00971400">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szCs w:val="20"/>
              </w:rPr>
            </w:pPr>
            <w:r w:rsidRPr="00D40DC4">
              <w:t>Összes nemzeti hozzájárulás (összes beruházási költség – EU támogatás)*</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szCs w:val="20"/>
              </w:rPr>
            </w:pPr>
          </w:p>
        </w:tc>
      </w:tr>
    </w:tbl>
    <w:p w:rsidR="006368E5" w:rsidRPr="00D40DC4" w:rsidRDefault="006368E5" w:rsidP="00971400">
      <w:r w:rsidRPr="00D40DC4">
        <w:t>* Csak nagyprojektnél kell kitölteni</w:t>
      </w:r>
    </w:p>
    <w:p w:rsidR="00E94DFE" w:rsidRPr="00D40DC4" w:rsidRDefault="00E94DFE">
      <w:pPr>
        <w:pStyle w:val="Cmsor5"/>
      </w:pPr>
      <w:r w:rsidRPr="00D40DC4">
        <w:t>Támogatási összeg meghatározása intézkedési szintű maximális társfinanszírozási rátával</w:t>
      </w:r>
      <w:r w:rsidR="008B1F1A" w:rsidRPr="00D40DC4">
        <w:t xml:space="preserve"> (</w:t>
      </w:r>
      <w:r w:rsidR="008B1F1A" w:rsidRPr="00D40DC4">
        <w:rPr>
          <w:sz w:val="19"/>
          <w:szCs w:val="19"/>
        </w:rPr>
        <w:t>csökkentett társfinanszírozási arány módszere)</w:t>
      </w:r>
    </w:p>
    <w:p w:rsidR="00E94DFE" w:rsidRPr="00D40DC4" w:rsidRDefault="00E94DFE" w:rsidP="00656388">
      <w:r w:rsidRPr="00D40DC4">
        <w:t xml:space="preserve">Az 1 millió EUR feletti </w:t>
      </w:r>
      <w:r w:rsidR="006B0220" w:rsidRPr="00D40DC4">
        <w:t xml:space="preserve">közcélú </w:t>
      </w:r>
      <w:r w:rsidRPr="00D40DC4">
        <w:t xml:space="preserve">projekteknél </w:t>
      </w:r>
      <w:r w:rsidR="00A0427E" w:rsidRPr="00D40DC4">
        <w:rPr>
          <w:rFonts w:cs="Arial"/>
        </w:rPr>
        <w:t xml:space="preserve">(beleértve az ilyen nagyprojekteket is) </w:t>
      </w:r>
      <w:r w:rsidRPr="00D40DC4">
        <w:t xml:space="preserve">lehetőség van a társfinanszírozási ráta maximalizálására a prioritási program vagy intézkedés elfogadásakor. </w:t>
      </w:r>
      <w:r w:rsidR="005F06B0" w:rsidRPr="00D40DC4">
        <w:t xml:space="preserve">Ebben az </w:t>
      </w:r>
      <w:r w:rsidR="00667044" w:rsidRPr="00D40DC4">
        <w:t>esetben</w:t>
      </w:r>
      <w:r w:rsidR="005F06B0" w:rsidRPr="00D40DC4">
        <w:t xml:space="preserve"> </w:t>
      </w:r>
      <w:r w:rsidRPr="00D40DC4">
        <w:t>az adott prioritás vagy intézkedés alapján támogatott minden művelet esetében egységes százalékban meghatározott átalányt lehet alkalmazni. A csökkentés nem lehet kevesebb, mint az alapspecifikus szabályok értelmében alkalmazandó maximális uniós társfinanszírozási arány és a</w:t>
      </w:r>
      <w:r w:rsidR="005F06B0" w:rsidRPr="00D40DC4">
        <w:t>z</w:t>
      </w:r>
      <w:r w:rsidRPr="00D40DC4">
        <w:t xml:space="preserve"> </w:t>
      </w:r>
      <w:r w:rsidR="005F06B0" w:rsidRPr="00D40DC4">
        <w:t>ágazatonként meghatározott átalány (ld. előző bekezdés)</w:t>
      </w:r>
      <w:r w:rsidRPr="00D40DC4">
        <w:t xml:space="preserve"> átalány szorzatának összege.</w:t>
      </w:r>
    </w:p>
    <w:p w:rsidR="005F06B0" w:rsidRPr="00D40DC4" w:rsidRDefault="005F06B0" w:rsidP="00656388">
      <w:r w:rsidRPr="00D40DC4">
        <w:t>A számítás ebben az esetben a következőképp történik.</w:t>
      </w:r>
    </w:p>
    <w:p w:rsidR="005F06B0" w:rsidRPr="00D40DC4" w:rsidRDefault="005F06B0" w:rsidP="00D20F91">
      <w:pPr>
        <w:pStyle w:val="Tblzat"/>
        <w:rPr>
          <w:iCs/>
          <w:noProof/>
        </w:rPr>
      </w:pPr>
      <w:r w:rsidRPr="00D40DC4">
        <w:rPr>
          <w:iCs/>
          <w:noProof/>
        </w:rPr>
        <w:fldChar w:fldCharType="begin"/>
      </w:r>
      <w:r w:rsidRPr="00D40DC4">
        <w:rPr>
          <w:noProof/>
        </w:rPr>
        <w:instrText xml:space="preserve"> SEQ táblázat \* ARABIC </w:instrText>
      </w:r>
      <w:r w:rsidRPr="00D40DC4">
        <w:rPr>
          <w:iCs/>
          <w:noProof/>
        </w:rPr>
        <w:fldChar w:fldCharType="separate"/>
      </w:r>
      <w:bookmarkStart w:id="631" w:name="_Toc436923958"/>
      <w:r w:rsidR="007B4938" w:rsidRPr="00D40DC4">
        <w:rPr>
          <w:noProof/>
        </w:rPr>
        <w:t>25</w:t>
      </w:r>
      <w:r w:rsidRPr="00D40DC4">
        <w:rPr>
          <w:iCs/>
          <w:noProof/>
        </w:rPr>
        <w:fldChar w:fldCharType="end"/>
      </w:r>
      <w:r w:rsidRPr="00D40DC4">
        <w:rPr>
          <w:noProof/>
        </w:rPr>
        <w:t>. táblázat: Támogatási összeg meghatározása intézkedési szintű maximális társfinanszírozási ráta alkalmazásával</w:t>
      </w:r>
      <w:bookmarkEnd w:id="631"/>
    </w:p>
    <w:tbl>
      <w:tblPr>
        <w:tblW w:w="46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4"/>
        <w:gridCol w:w="1575"/>
        <w:gridCol w:w="1873"/>
        <w:gridCol w:w="1873"/>
      </w:tblGrid>
      <w:tr w:rsidR="00E7458E" w:rsidRPr="00D40DC4" w:rsidTr="00777965">
        <w:trPr>
          <w:trHeight w:val="255"/>
          <w:tblHeader/>
        </w:trPr>
        <w:tc>
          <w:tcPr>
            <w:tcW w:w="1872" w:type="pct"/>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Megnevezés</w:t>
            </w:r>
          </w:p>
        </w:tc>
        <w:tc>
          <w:tcPr>
            <w:tcW w:w="926" w:type="pct"/>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w:t>
            </w:r>
          </w:p>
        </w:tc>
        <w:tc>
          <w:tcPr>
            <w:tcW w:w="1101" w:type="pct"/>
            <w:shd w:val="clear" w:color="auto" w:fill="99CCFF"/>
            <w:vAlign w:val="center"/>
          </w:tcPr>
          <w:p w:rsidR="00E7458E" w:rsidRPr="00D40DC4" w:rsidRDefault="00E7458E" w:rsidP="00583B66">
            <w:pPr>
              <w:spacing w:after="0"/>
              <w:jc w:val="center"/>
              <w:rPr>
                <w:rFonts w:cs="Arial"/>
                <w:b/>
                <w:szCs w:val="20"/>
              </w:rPr>
            </w:pPr>
            <w:r w:rsidRPr="00D40DC4">
              <w:rPr>
                <w:rFonts w:cs="Arial"/>
                <w:b/>
                <w:szCs w:val="20"/>
              </w:rPr>
              <w:t>Ft</w:t>
            </w:r>
          </w:p>
        </w:tc>
        <w:tc>
          <w:tcPr>
            <w:tcW w:w="1101" w:type="pct"/>
            <w:shd w:val="clear" w:color="auto" w:fill="99CCFF"/>
          </w:tcPr>
          <w:p w:rsidR="00E7458E" w:rsidRPr="00D40DC4" w:rsidRDefault="00E7458E" w:rsidP="00583B66">
            <w:pPr>
              <w:spacing w:after="0"/>
              <w:jc w:val="center"/>
              <w:rPr>
                <w:rFonts w:cs="Arial"/>
                <w:b/>
                <w:szCs w:val="20"/>
              </w:rPr>
            </w:pPr>
            <w:r w:rsidRPr="00D40DC4">
              <w:rPr>
                <w:rFonts w:cs="Arial"/>
                <w:b/>
                <w:szCs w:val="20"/>
              </w:rPr>
              <w:t>euro</w:t>
            </w:r>
          </w:p>
        </w:tc>
      </w:tr>
      <w:tr w:rsidR="00E7458E" w:rsidRPr="00D40DC4" w:rsidTr="00777965">
        <w:trPr>
          <w:trHeight w:val="255"/>
        </w:trPr>
        <w:tc>
          <w:tcPr>
            <w:tcW w:w="1872" w:type="pct"/>
            <w:shd w:val="clear" w:color="auto" w:fill="auto"/>
            <w:noWrap/>
          </w:tcPr>
          <w:p w:rsidR="00E7458E" w:rsidRPr="00D40DC4" w:rsidRDefault="00E7458E" w:rsidP="00583B66">
            <w:pPr>
              <w:spacing w:after="0"/>
              <w:rPr>
                <w:rFonts w:cs="Arial"/>
                <w:szCs w:val="20"/>
              </w:rPr>
            </w:pPr>
            <w:r w:rsidRPr="00D40DC4">
              <w:t>Elszámolható költség (EC)</w:t>
            </w:r>
          </w:p>
        </w:tc>
        <w:tc>
          <w:tcPr>
            <w:tcW w:w="926" w:type="pct"/>
            <w:shd w:val="clear" w:color="auto" w:fill="auto"/>
            <w:noWrap/>
            <w:vAlign w:val="bottom"/>
          </w:tcPr>
          <w:p w:rsidR="00E7458E" w:rsidRPr="00D40DC4" w:rsidRDefault="00E7458E" w:rsidP="00583B66">
            <w:pPr>
              <w:spacing w:after="0"/>
              <w:rPr>
                <w:rFonts w:cs="Arial"/>
                <w:szCs w:val="20"/>
              </w:rPr>
            </w:pPr>
          </w:p>
        </w:tc>
        <w:tc>
          <w:tcPr>
            <w:tcW w:w="1101" w:type="pct"/>
            <w:shd w:val="clear" w:color="auto" w:fill="auto"/>
            <w:vAlign w:val="bottom"/>
          </w:tcPr>
          <w:p w:rsidR="00E7458E" w:rsidRPr="00D40DC4" w:rsidRDefault="00E7458E" w:rsidP="00583B66">
            <w:pPr>
              <w:spacing w:after="0"/>
              <w:rPr>
                <w:rFonts w:cs="Arial"/>
                <w:szCs w:val="20"/>
              </w:rPr>
            </w:pPr>
          </w:p>
        </w:tc>
        <w:tc>
          <w:tcPr>
            <w:tcW w:w="1101" w:type="pct"/>
            <w:shd w:val="clear" w:color="auto" w:fill="auto"/>
          </w:tcPr>
          <w:p w:rsidR="00E7458E" w:rsidRPr="00D40DC4" w:rsidRDefault="00E7458E" w:rsidP="00583B66">
            <w:pPr>
              <w:spacing w:after="0"/>
              <w:rPr>
                <w:rFonts w:cs="Arial"/>
                <w:szCs w:val="20"/>
              </w:rPr>
            </w:pPr>
          </w:p>
        </w:tc>
      </w:tr>
      <w:tr w:rsidR="00E7458E" w:rsidRPr="00D40DC4" w:rsidTr="00777965">
        <w:trPr>
          <w:trHeight w:val="255"/>
        </w:trPr>
        <w:tc>
          <w:tcPr>
            <w:tcW w:w="1872" w:type="pct"/>
            <w:shd w:val="clear" w:color="auto" w:fill="auto"/>
            <w:noWrap/>
          </w:tcPr>
          <w:p w:rsidR="00E7458E" w:rsidRPr="00D40DC4" w:rsidRDefault="00E7458E" w:rsidP="00583B66">
            <w:pPr>
              <w:spacing w:after="0"/>
            </w:pPr>
            <w:r w:rsidRPr="00D40DC4">
              <w:t>Nem elszámolható költség</w:t>
            </w:r>
            <w:r w:rsidR="00022EBF" w:rsidRPr="00D40DC4">
              <w:t xml:space="preserve"> (NEC)</w:t>
            </w:r>
          </w:p>
        </w:tc>
        <w:tc>
          <w:tcPr>
            <w:tcW w:w="926" w:type="pct"/>
            <w:shd w:val="clear" w:color="auto" w:fill="auto"/>
            <w:noWrap/>
            <w:vAlign w:val="bottom"/>
          </w:tcPr>
          <w:p w:rsidR="00E7458E" w:rsidRPr="00D40DC4" w:rsidRDefault="00E7458E" w:rsidP="00583B66">
            <w:pPr>
              <w:spacing w:after="0"/>
              <w:rPr>
                <w:rFonts w:cs="Arial"/>
                <w:szCs w:val="20"/>
              </w:rPr>
            </w:pPr>
          </w:p>
        </w:tc>
        <w:tc>
          <w:tcPr>
            <w:tcW w:w="1101" w:type="pct"/>
            <w:shd w:val="clear" w:color="auto" w:fill="auto"/>
            <w:vAlign w:val="bottom"/>
          </w:tcPr>
          <w:p w:rsidR="00E7458E" w:rsidRPr="00D40DC4" w:rsidRDefault="00E7458E" w:rsidP="00583B66">
            <w:pPr>
              <w:spacing w:after="0"/>
              <w:rPr>
                <w:rFonts w:cs="Arial"/>
                <w:szCs w:val="20"/>
              </w:rPr>
            </w:pPr>
          </w:p>
        </w:tc>
        <w:tc>
          <w:tcPr>
            <w:tcW w:w="1101" w:type="pct"/>
            <w:shd w:val="clear" w:color="auto" w:fill="auto"/>
          </w:tcPr>
          <w:p w:rsidR="00E7458E" w:rsidRPr="00D40DC4" w:rsidRDefault="00E7458E" w:rsidP="00583B66">
            <w:pPr>
              <w:spacing w:after="0"/>
              <w:rPr>
                <w:rFonts w:cs="Arial"/>
                <w:szCs w:val="20"/>
              </w:rPr>
            </w:pPr>
          </w:p>
        </w:tc>
      </w:tr>
      <w:tr w:rsidR="00022EBF" w:rsidRPr="00D40DC4" w:rsidTr="00777965">
        <w:trPr>
          <w:trHeight w:val="255"/>
        </w:trPr>
        <w:tc>
          <w:tcPr>
            <w:tcW w:w="1872" w:type="pct"/>
            <w:shd w:val="clear" w:color="auto" w:fill="auto"/>
            <w:noWrap/>
          </w:tcPr>
          <w:p w:rsidR="00022EBF" w:rsidRPr="00D40DC4" w:rsidRDefault="00022EBF" w:rsidP="00583B66">
            <w:pPr>
              <w:spacing w:after="0"/>
              <w:rPr>
                <w:b/>
              </w:rPr>
            </w:pPr>
            <w:r w:rsidRPr="00D40DC4">
              <w:rPr>
                <w:b/>
              </w:rPr>
              <w:t>OP támogatás (DA=EC*kiírásban meghatározott maximális támogatási arány)</w:t>
            </w:r>
          </w:p>
        </w:tc>
        <w:tc>
          <w:tcPr>
            <w:tcW w:w="926" w:type="pct"/>
            <w:shd w:val="clear" w:color="auto" w:fill="auto"/>
            <w:noWrap/>
            <w:vAlign w:val="bottom"/>
          </w:tcPr>
          <w:p w:rsidR="00022EBF" w:rsidRPr="00D40DC4" w:rsidRDefault="00022EBF" w:rsidP="00583B66">
            <w:pPr>
              <w:spacing w:after="0"/>
              <w:rPr>
                <w:rFonts w:cs="Arial"/>
                <w:b/>
                <w:szCs w:val="20"/>
              </w:rPr>
            </w:pPr>
          </w:p>
        </w:tc>
        <w:tc>
          <w:tcPr>
            <w:tcW w:w="1101" w:type="pct"/>
            <w:shd w:val="clear" w:color="auto" w:fill="auto"/>
            <w:vAlign w:val="bottom"/>
          </w:tcPr>
          <w:p w:rsidR="00022EBF" w:rsidRPr="00D40DC4" w:rsidRDefault="00022EBF" w:rsidP="00583B66">
            <w:pPr>
              <w:spacing w:after="0"/>
              <w:rPr>
                <w:rFonts w:cs="Arial"/>
                <w:b/>
                <w:szCs w:val="20"/>
              </w:rPr>
            </w:pPr>
          </w:p>
        </w:tc>
        <w:tc>
          <w:tcPr>
            <w:tcW w:w="1101" w:type="pct"/>
            <w:shd w:val="clear" w:color="auto" w:fill="auto"/>
          </w:tcPr>
          <w:p w:rsidR="00022EBF" w:rsidRPr="00D40DC4" w:rsidRDefault="00022EBF" w:rsidP="00583B66">
            <w:pPr>
              <w:spacing w:after="0"/>
              <w:rPr>
                <w:rFonts w:cs="Arial"/>
                <w:b/>
                <w:szCs w:val="20"/>
              </w:rPr>
            </w:pPr>
          </w:p>
        </w:tc>
      </w:tr>
      <w:tr w:rsidR="00022EBF" w:rsidRPr="00D40DC4" w:rsidTr="00952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022EBF" w:rsidRPr="00D40DC4" w:rsidRDefault="00022EBF" w:rsidP="0095222C">
            <w:pPr>
              <w:spacing w:after="0"/>
              <w:rPr>
                <w:rFonts w:cs="Arial"/>
                <w:b/>
                <w:szCs w:val="20"/>
              </w:rPr>
            </w:pPr>
            <w:r w:rsidRPr="00D40DC4">
              <w:rPr>
                <w:b/>
              </w:rPr>
              <w:t>Kedvezményezett hozzájárulása (=EC-DA+NEC)</w:t>
            </w:r>
          </w:p>
        </w:tc>
        <w:tc>
          <w:tcPr>
            <w:tcW w:w="926" w:type="pct"/>
            <w:tcBorders>
              <w:top w:val="nil"/>
              <w:left w:val="nil"/>
              <w:bottom w:val="single" w:sz="4" w:space="0" w:color="auto"/>
              <w:right w:val="single" w:sz="4" w:space="0" w:color="auto"/>
            </w:tcBorders>
            <w:shd w:val="clear" w:color="auto" w:fill="auto"/>
            <w:noWrap/>
            <w:vAlign w:val="bottom"/>
          </w:tcPr>
          <w:p w:rsidR="00022EBF" w:rsidRPr="00D40DC4" w:rsidRDefault="00022EBF"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vAlign w:val="bottom"/>
          </w:tcPr>
          <w:p w:rsidR="00022EBF" w:rsidRPr="00D40DC4" w:rsidRDefault="00022EBF"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tcPr>
          <w:p w:rsidR="00022EBF" w:rsidRPr="00D40DC4" w:rsidRDefault="00022EBF" w:rsidP="0095222C">
            <w:pPr>
              <w:spacing w:after="0"/>
              <w:rPr>
                <w:rFonts w:cs="Arial"/>
                <w:b/>
                <w:szCs w:val="20"/>
              </w:rPr>
            </w:pPr>
          </w:p>
        </w:tc>
      </w:tr>
      <w:tr w:rsidR="00022EBF" w:rsidRPr="00D40DC4" w:rsidTr="0095222C">
        <w:trPr>
          <w:trHeight w:val="255"/>
        </w:trPr>
        <w:tc>
          <w:tcPr>
            <w:tcW w:w="1872" w:type="pct"/>
            <w:shd w:val="clear" w:color="auto" w:fill="auto"/>
            <w:noWrap/>
          </w:tcPr>
          <w:p w:rsidR="00022EBF" w:rsidRPr="00D40DC4" w:rsidRDefault="00022EBF" w:rsidP="0095222C">
            <w:pPr>
              <w:spacing w:after="0"/>
              <w:rPr>
                <w:rFonts w:cs="Arial"/>
                <w:szCs w:val="20"/>
              </w:rPr>
            </w:pPr>
            <w:r w:rsidRPr="00D40DC4">
              <w:t>Ágazati átalány (FR)*</w:t>
            </w:r>
          </w:p>
        </w:tc>
        <w:tc>
          <w:tcPr>
            <w:tcW w:w="926" w:type="pct"/>
            <w:shd w:val="clear" w:color="auto" w:fill="auto"/>
            <w:noWrap/>
            <w:vAlign w:val="bottom"/>
          </w:tcPr>
          <w:p w:rsidR="00022EBF" w:rsidRPr="00D40DC4" w:rsidRDefault="00022EBF" w:rsidP="0095222C">
            <w:pPr>
              <w:spacing w:after="0"/>
              <w:rPr>
                <w:rFonts w:cs="Arial"/>
                <w:szCs w:val="20"/>
              </w:rPr>
            </w:pPr>
          </w:p>
        </w:tc>
        <w:tc>
          <w:tcPr>
            <w:tcW w:w="1101" w:type="pct"/>
            <w:shd w:val="clear" w:color="auto" w:fill="auto"/>
            <w:vAlign w:val="bottom"/>
          </w:tcPr>
          <w:p w:rsidR="00022EBF" w:rsidRPr="00D40DC4" w:rsidRDefault="00022EBF" w:rsidP="0095222C">
            <w:pPr>
              <w:spacing w:after="0"/>
              <w:rPr>
                <w:rFonts w:cs="Arial"/>
                <w:szCs w:val="20"/>
              </w:rPr>
            </w:pPr>
          </w:p>
        </w:tc>
        <w:tc>
          <w:tcPr>
            <w:tcW w:w="1101" w:type="pct"/>
            <w:shd w:val="clear" w:color="auto" w:fill="auto"/>
          </w:tcPr>
          <w:p w:rsidR="00022EBF" w:rsidRPr="00D40DC4" w:rsidRDefault="00022EBF" w:rsidP="0095222C">
            <w:pPr>
              <w:spacing w:after="0"/>
              <w:rPr>
                <w:rFonts w:cs="Arial"/>
                <w:szCs w:val="20"/>
              </w:rPr>
            </w:pPr>
          </w:p>
        </w:tc>
      </w:tr>
      <w:tr w:rsidR="00E7458E" w:rsidRPr="00D40DC4" w:rsidTr="00777965">
        <w:trPr>
          <w:trHeight w:val="255"/>
        </w:trPr>
        <w:tc>
          <w:tcPr>
            <w:tcW w:w="1872" w:type="pct"/>
            <w:shd w:val="clear" w:color="auto" w:fill="auto"/>
            <w:noWrap/>
          </w:tcPr>
          <w:p w:rsidR="00E7458E" w:rsidRPr="00D40DC4" w:rsidRDefault="00E7458E" w:rsidP="00583B66">
            <w:pPr>
              <w:spacing w:after="0"/>
              <w:rPr>
                <w:rFonts w:cs="Arial"/>
                <w:b/>
                <w:szCs w:val="20"/>
              </w:rPr>
            </w:pPr>
            <w:r w:rsidRPr="00D40DC4">
              <w:t>A prioritás maximális társfinanszírozási rátája (Csökkentett maxCRpa = max CRpa*(1-FR))</w:t>
            </w:r>
            <w:r w:rsidR="00022EBF" w:rsidRPr="00D40DC4">
              <w:t>*</w:t>
            </w:r>
          </w:p>
        </w:tc>
        <w:tc>
          <w:tcPr>
            <w:tcW w:w="926" w:type="pct"/>
            <w:shd w:val="clear" w:color="auto" w:fill="auto"/>
            <w:noWrap/>
            <w:vAlign w:val="bottom"/>
          </w:tcPr>
          <w:p w:rsidR="00E7458E" w:rsidRPr="00D40DC4" w:rsidRDefault="00E7458E" w:rsidP="00583B66">
            <w:pPr>
              <w:spacing w:after="0"/>
              <w:rPr>
                <w:rFonts w:cs="Arial"/>
                <w:b/>
                <w:szCs w:val="20"/>
              </w:rPr>
            </w:pPr>
          </w:p>
        </w:tc>
        <w:tc>
          <w:tcPr>
            <w:tcW w:w="1101" w:type="pct"/>
            <w:shd w:val="clear" w:color="auto" w:fill="auto"/>
            <w:vAlign w:val="bottom"/>
          </w:tcPr>
          <w:p w:rsidR="00E7458E" w:rsidRPr="00D40DC4" w:rsidRDefault="00E7458E" w:rsidP="00583B66">
            <w:pPr>
              <w:spacing w:after="0"/>
              <w:rPr>
                <w:rFonts w:cs="Arial"/>
                <w:b/>
                <w:szCs w:val="20"/>
              </w:rPr>
            </w:pPr>
          </w:p>
        </w:tc>
        <w:tc>
          <w:tcPr>
            <w:tcW w:w="1101" w:type="pct"/>
            <w:shd w:val="clear" w:color="auto" w:fill="auto"/>
          </w:tcPr>
          <w:p w:rsidR="00E7458E" w:rsidRPr="00D40DC4" w:rsidRDefault="00E7458E" w:rsidP="00583B66">
            <w:pPr>
              <w:spacing w:after="0"/>
              <w:rPr>
                <w:rFonts w:cs="Arial"/>
                <w:b/>
                <w:szCs w:val="20"/>
              </w:rPr>
            </w:pPr>
          </w:p>
        </w:tc>
      </w:tr>
      <w:tr w:rsidR="00E7458E" w:rsidRPr="00D40DC4" w:rsidTr="00777965">
        <w:trPr>
          <w:trHeight w:val="255"/>
        </w:trPr>
        <w:tc>
          <w:tcPr>
            <w:tcW w:w="1872" w:type="pct"/>
            <w:shd w:val="clear" w:color="auto" w:fill="auto"/>
            <w:noWrap/>
          </w:tcPr>
          <w:p w:rsidR="00E7458E" w:rsidRPr="00D40DC4" w:rsidRDefault="00E7458E">
            <w:pPr>
              <w:spacing w:after="0"/>
              <w:rPr>
                <w:rFonts w:cs="Arial"/>
                <w:b/>
                <w:szCs w:val="20"/>
              </w:rPr>
            </w:pPr>
            <w:r w:rsidRPr="00D40DC4">
              <w:rPr>
                <w:b/>
              </w:rPr>
              <w:t>EU támogatás (=EC*csökkentett max CRpa</w:t>
            </w:r>
            <w:r w:rsidR="004F5AA9" w:rsidRPr="00D40DC4">
              <w:rPr>
                <w:b/>
              </w:rPr>
              <w:t>, azaz EC*(1-FR)</w:t>
            </w:r>
            <w:r w:rsidRPr="00D40DC4">
              <w:rPr>
                <w:b/>
              </w:rPr>
              <w:t>)</w:t>
            </w:r>
            <w:r w:rsidR="00022EBF" w:rsidRPr="00D40DC4">
              <w:rPr>
                <w:b/>
              </w:rPr>
              <w:t>*</w:t>
            </w:r>
          </w:p>
        </w:tc>
        <w:tc>
          <w:tcPr>
            <w:tcW w:w="926" w:type="pct"/>
            <w:shd w:val="clear" w:color="auto" w:fill="auto"/>
            <w:noWrap/>
            <w:vAlign w:val="bottom"/>
          </w:tcPr>
          <w:p w:rsidR="00E7458E" w:rsidRPr="00D40DC4" w:rsidRDefault="00E7458E" w:rsidP="00583B66">
            <w:pPr>
              <w:spacing w:after="0"/>
              <w:rPr>
                <w:rFonts w:cs="Arial"/>
                <w:b/>
                <w:szCs w:val="20"/>
              </w:rPr>
            </w:pPr>
          </w:p>
        </w:tc>
        <w:tc>
          <w:tcPr>
            <w:tcW w:w="1101" w:type="pct"/>
            <w:shd w:val="clear" w:color="auto" w:fill="auto"/>
            <w:vAlign w:val="bottom"/>
          </w:tcPr>
          <w:p w:rsidR="00E7458E" w:rsidRPr="00D40DC4" w:rsidRDefault="00E7458E" w:rsidP="00583B66">
            <w:pPr>
              <w:spacing w:after="0"/>
              <w:rPr>
                <w:rFonts w:cs="Arial"/>
                <w:b/>
                <w:szCs w:val="20"/>
              </w:rPr>
            </w:pPr>
          </w:p>
        </w:tc>
        <w:tc>
          <w:tcPr>
            <w:tcW w:w="1101" w:type="pct"/>
            <w:shd w:val="clear" w:color="auto" w:fill="auto"/>
          </w:tcPr>
          <w:p w:rsidR="00E7458E" w:rsidRPr="00D40DC4" w:rsidRDefault="00E7458E" w:rsidP="00583B66">
            <w:pPr>
              <w:spacing w:after="0"/>
              <w:rPr>
                <w:rFonts w:cs="Arial"/>
                <w:b/>
                <w:szCs w:val="20"/>
              </w:rPr>
            </w:pPr>
          </w:p>
        </w:tc>
      </w:tr>
      <w:tr w:rsidR="00777965" w:rsidRPr="00D40DC4" w:rsidTr="00971400">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777965" w:rsidRPr="00D40DC4" w:rsidRDefault="00777965" w:rsidP="0095222C">
            <w:pPr>
              <w:spacing w:after="0"/>
              <w:rPr>
                <w:rFonts w:cs="Arial"/>
                <w:szCs w:val="20"/>
              </w:rPr>
            </w:pPr>
            <w:r w:rsidRPr="00D40DC4">
              <w:t>Összes nemzeti hozzájárulás (összes beruházási költség – EU támogatás)*</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777965" w:rsidRPr="00D40DC4" w:rsidRDefault="00777965"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777965" w:rsidRPr="00D40DC4" w:rsidRDefault="00777965" w:rsidP="0095222C">
            <w:pPr>
              <w:spacing w:after="0"/>
              <w:rPr>
                <w:rFonts w:cs="Arial"/>
                <w:szCs w:val="20"/>
              </w:rPr>
            </w:pPr>
          </w:p>
        </w:tc>
      </w:tr>
    </w:tbl>
    <w:p w:rsidR="006368E5" w:rsidRPr="00D40DC4" w:rsidRDefault="006368E5" w:rsidP="00971400">
      <w:r w:rsidRPr="00D40DC4">
        <w:t>* Csak nagyprojektnél kell kitölteni</w:t>
      </w:r>
    </w:p>
    <w:p w:rsidR="000F473F" w:rsidRPr="00D40DC4" w:rsidRDefault="000F473F" w:rsidP="000F473F">
      <w:pPr>
        <w:rPr>
          <w:sz w:val="19"/>
          <w:szCs w:val="19"/>
        </w:rPr>
      </w:pPr>
    </w:p>
    <w:p w:rsidR="00322396" w:rsidRPr="00D40DC4" w:rsidRDefault="00322396" w:rsidP="005A76C2">
      <w:pPr>
        <w:pStyle w:val="Cmsor4"/>
      </w:pPr>
      <w:r w:rsidRPr="00D40DC4">
        <w:t>Támogatási összeg meghatározása az elszámolható költség és a megadott támogatási arány szorzatával</w:t>
      </w:r>
    </w:p>
    <w:p w:rsidR="00322396" w:rsidRPr="00D40DC4" w:rsidRDefault="00322396" w:rsidP="00221929">
      <w:pPr>
        <w:rPr>
          <w:rFonts w:cs="Arial"/>
        </w:rPr>
      </w:pPr>
      <w:r w:rsidRPr="00D40DC4">
        <w:rPr>
          <w:rFonts w:cs="Arial"/>
        </w:rPr>
        <w:t>A támogatás összegéne</w:t>
      </w:r>
      <w:r w:rsidR="009F118C" w:rsidRPr="00D40DC4">
        <w:rPr>
          <w:rFonts w:cs="Arial"/>
        </w:rPr>
        <w:t xml:space="preserve">k meghatározása egyszerűen, az </w:t>
      </w:r>
      <w:r w:rsidRPr="00D40DC4">
        <w:rPr>
          <w:rFonts w:cs="Arial"/>
        </w:rPr>
        <w:t>elszámolható beruházási költség és a pályázati útmutatóban meghatározott támogatási arány szorzataként számolható a következő esetekben:</w:t>
      </w:r>
    </w:p>
    <w:p w:rsidR="00322396" w:rsidRPr="00D40DC4" w:rsidRDefault="00322396" w:rsidP="006F2748">
      <w:pPr>
        <w:numPr>
          <w:ilvl w:val="0"/>
          <w:numId w:val="40"/>
        </w:numPr>
      </w:pPr>
      <w:r w:rsidRPr="00D40DC4">
        <w:t>a State aid (állami támogatási) szabály hatálya alá tartozó projektek esetén</w:t>
      </w:r>
      <w:r w:rsidR="00887C61" w:rsidRPr="00D40DC4">
        <w:t>, ha az állami támogatási szabály ezt megengedi</w:t>
      </w:r>
      <w:r w:rsidRPr="00D40DC4">
        <w:t>.</w:t>
      </w:r>
    </w:p>
    <w:p w:rsidR="00322396" w:rsidRPr="00D40DC4" w:rsidRDefault="006368E5" w:rsidP="006F2748">
      <w:pPr>
        <w:numPr>
          <w:ilvl w:val="0"/>
          <w:numId w:val="40"/>
        </w:numPr>
      </w:pPr>
      <w:r w:rsidRPr="00D40DC4">
        <w:t xml:space="preserve">1 millió EUR feletti beruházási költségű, </w:t>
      </w:r>
      <w:r w:rsidR="00322396" w:rsidRPr="00D40DC4">
        <w:t>közcélú</w:t>
      </w:r>
      <w:r w:rsidRPr="00D40DC4">
        <w:t>,</w:t>
      </w:r>
      <w:r w:rsidR="00322396" w:rsidRPr="00D40DC4">
        <w:t xml:space="preserve"> </w:t>
      </w:r>
      <w:r w:rsidR="00720529" w:rsidRPr="00D40DC4">
        <w:t xml:space="preserve">nettó bevételt </w:t>
      </w:r>
      <w:r w:rsidR="00322396" w:rsidRPr="00D40DC4">
        <w:t xml:space="preserve">nem </w:t>
      </w:r>
      <w:r w:rsidR="00720529" w:rsidRPr="00D40DC4">
        <w:t xml:space="preserve">termelő </w:t>
      </w:r>
      <w:r w:rsidR="00322396" w:rsidRPr="00D40DC4">
        <w:t>projektekre</w:t>
      </w:r>
      <w:r w:rsidRPr="00D40DC4">
        <w:t>, azaz ahol a DNOR&lt;0 (beleértve az ilyen nagyprojekteket is)</w:t>
      </w:r>
      <w:r w:rsidR="00322396" w:rsidRPr="00D40DC4">
        <w:t>,</w:t>
      </w:r>
    </w:p>
    <w:p w:rsidR="00322396" w:rsidRPr="00D40DC4" w:rsidRDefault="00322396" w:rsidP="006F2748">
      <w:pPr>
        <w:numPr>
          <w:ilvl w:val="0"/>
          <w:numId w:val="40"/>
        </w:numPr>
      </w:pPr>
      <w:r w:rsidRPr="00D40DC4">
        <w:t xml:space="preserve">az 1 millió EUR alatti beruházási költségű közcélú projektekre  </w:t>
      </w:r>
    </w:p>
    <w:p w:rsidR="00322396" w:rsidRPr="00D40DC4" w:rsidRDefault="00322396" w:rsidP="00221929">
      <w:pPr>
        <w:rPr>
          <w:rFonts w:cs="Arial"/>
        </w:rPr>
      </w:pPr>
      <w:r w:rsidRPr="00D40DC4">
        <w:rPr>
          <w:rFonts w:cs="Arial"/>
        </w:rPr>
        <w:t>Ezekben az esetekben a következő táblázatban kell összefoglalni a számítás eredményét:</w:t>
      </w:r>
    </w:p>
    <w:p w:rsidR="00EB7FB9" w:rsidRPr="00D40DC4" w:rsidRDefault="00EB7FB9">
      <w:pPr>
        <w:spacing w:after="160" w:line="259" w:lineRule="auto"/>
        <w:jc w:val="left"/>
        <w:rPr>
          <w:rFonts w:eastAsia="Times New Roman" w:cs="Arial"/>
          <w:i/>
          <w:szCs w:val="24"/>
          <w:lang w:eastAsia="hu-HU"/>
        </w:rPr>
      </w:pPr>
      <w:r w:rsidRPr="00D40DC4">
        <w:rPr>
          <w:rFonts w:cs="Arial"/>
        </w:rPr>
        <w:lastRenderedPageBreak/>
        <w:br w:type="page"/>
      </w:r>
    </w:p>
    <w:p w:rsidR="00322396" w:rsidRPr="00D40DC4" w:rsidRDefault="00C9351C" w:rsidP="00D20F91">
      <w:pPr>
        <w:pStyle w:val="Tblzat"/>
        <w:rPr>
          <w:rFonts w:cs="Arial"/>
        </w:rPr>
      </w:pPr>
      <w:r w:rsidRPr="00D40DC4">
        <w:rPr>
          <w:rFonts w:cs="Arial"/>
        </w:rPr>
        <w:lastRenderedPageBreak/>
        <w:fldChar w:fldCharType="begin"/>
      </w:r>
      <w:r w:rsidRPr="00D40DC4">
        <w:rPr>
          <w:rFonts w:cs="Arial"/>
        </w:rPr>
        <w:instrText xml:space="preserve"> SEQ táblázat \* ARABIC </w:instrText>
      </w:r>
      <w:r w:rsidRPr="00D40DC4">
        <w:rPr>
          <w:rFonts w:cs="Arial"/>
        </w:rPr>
        <w:fldChar w:fldCharType="separate"/>
      </w:r>
      <w:bookmarkStart w:id="632" w:name="_Toc436923959"/>
      <w:r w:rsidR="007B4938" w:rsidRPr="00D40DC4">
        <w:rPr>
          <w:rFonts w:cs="Arial"/>
          <w:noProof/>
        </w:rPr>
        <w:t>26</w:t>
      </w:r>
      <w:r w:rsidRPr="00D40DC4">
        <w:rPr>
          <w:rFonts w:cs="Arial"/>
        </w:rPr>
        <w:fldChar w:fldCharType="end"/>
      </w:r>
      <w:r w:rsidR="00322396" w:rsidRPr="00D40DC4">
        <w:rPr>
          <w:rFonts w:cs="Arial"/>
        </w:rPr>
        <w:t>. táblázat: A támogatás számítása</w:t>
      </w:r>
      <w:r w:rsidR="006368E5" w:rsidRPr="00D40DC4">
        <w:rPr>
          <w:rFonts w:cs="Arial"/>
        </w:rPr>
        <w:t xml:space="preserve"> </w:t>
      </w:r>
      <w:r w:rsidR="00022EBF" w:rsidRPr="00D40DC4">
        <w:t>az elszámolható költség és a megadott támogatási arány szorzatával</w:t>
      </w:r>
      <w:bookmarkEnd w:id="632"/>
    </w:p>
    <w:tbl>
      <w:tblPr>
        <w:tblW w:w="46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4"/>
        <w:gridCol w:w="1575"/>
        <w:gridCol w:w="1873"/>
        <w:gridCol w:w="1873"/>
      </w:tblGrid>
      <w:tr w:rsidR="00E7458E" w:rsidRPr="00D40DC4" w:rsidTr="00583B66">
        <w:trPr>
          <w:trHeight w:val="255"/>
          <w:tblHeader/>
        </w:trPr>
        <w:tc>
          <w:tcPr>
            <w:tcW w:w="1872" w:type="pct"/>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Megnevezés</w:t>
            </w:r>
          </w:p>
        </w:tc>
        <w:tc>
          <w:tcPr>
            <w:tcW w:w="926" w:type="pct"/>
            <w:shd w:val="clear" w:color="auto" w:fill="99CCFF"/>
            <w:noWrap/>
            <w:vAlign w:val="center"/>
          </w:tcPr>
          <w:p w:rsidR="00E7458E" w:rsidRPr="00D40DC4" w:rsidRDefault="00E7458E" w:rsidP="00583B66">
            <w:pPr>
              <w:spacing w:after="0"/>
              <w:jc w:val="center"/>
              <w:rPr>
                <w:rFonts w:cs="Arial"/>
                <w:b/>
                <w:szCs w:val="20"/>
              </w:rPr>
            </w:pPr>
            <w:r w:rsidRPr="00D40DC4">
              <w:rPr>
                <w:rFonts w:cs="Arial"/>
                <w:b/>
                <w:szCs w:val="20"/>
              </w:rPr>
              <w:t>%</w:t>
            </w:r>
          </w:p>
        </w:tc>
        <w:tc>
          <w:tcPr>
            <w:tcW w:w="1101" w:type="pct"/>
            <w:shd w:val="clear" w:color="auto" w:fill="99CCFF"/>
            <w:vAlign w:val="center"/>
          </w:tcPr>
          <w:p w:rsidR="00E7458E" w:rsidRPr="00D40DC4" w:rsidRDefault="00E7458E" w:rsidP="00583B66">
            <w:pPr>
              <w:spacing w:after="0"/>
              <w:jc w:val="center"/>
              <w:rPr>
                <w:rFonts w:cs="Arial"/>
                <w:b/>
                <w:szCs w:val="20"/>
              </w:rPr>
            </w:pPr>
            <w:r w:rsidRPr="00D40DC4">
              <w:rPr>
                <w:rFonts w:cs="Arial"/>
                <w:b/>
                <w:szCs w:val="20"/>
              </w:rPr>
              <w:t>Ft</w:t>
            </w:r>
          </w:p>
        </w:tc>
        <w:tc>
          <w:tcPr>
            <w:tcW w:w="1101" w:type="pct"/>
            <w:shd w:val="clear" w:color="auto" w:fill="99CCFF"/>
          </w:tcPr>
          <w:p w:rsidR="00E7458E" w:rsidRPr="00D40DC4" w:rsidRDefault="00E7458E" w:rsidP="00583B66">
            <w:pPr>
              <w:spacing w:after="0"/>
              <w:jc w:val="center"/>
              <w:rPr>
                <w:rFonts w:cs="Arial"/>
                <w:b/>
                <w:szCs w:val="20"/>
              </w:rPr>
            </w:pPr>
            <w:r w:rsidRPr="00D40DC4">
              <w:rPr>
                <w:rFonts w:cs="Arial"/>
                <w:b/>
                <w:szCs w:val="20"/>
              </w:rPr>
              <w:t>euro</w:t>
            </w:r>
          </w:p>
        </w:tc>
      </w:tr>
      <w:tr w:rsidR="00E7458E" w:rsidRPr="00D40DC4" w:rsidTr="00971400">
        <w:trPr>
          <w:trHeight w:val="255"/>
        </w:trPr>
        <w:tc>
          <w:tcPr>
            <w:tcW w:w="1872" w:type="pct"/>
            <w:shd w:val="clear" w:color="auto" w:fill="auto"/>
            <w:noWrap/>
            <w:vAlign w:val="center"/>
          </w:tcPr>
          <w:p w:rsidR="00E7458E" w:rsidRPr="00D40DC4" w:rsidRDefault="00E7458E" w:rsidP="00583B66">
            <w:pPr>
              <w:spacing w:after="0"/>
              <w:rPr>
                <w:rFonts w:cs="Arial"/>
                <w:szCs w:val="20"/>
              </w:rPr>
            </w:pPr>
            <w:r w:rsidRPr="00D40DC4">
              <w:rPr>
                <w:rFonts w:cs="Arial"/>
                <w:szCs w:val="20"/>
              </w:rPr>
              <w:t>Elszámolható költség (EC)</w:t>
            </w:r>
          </w:p>
        </w:tc>
        <w:tc>
          <w:tcPr>
            <w:tcW w:w="926" w:type="pct"/>
            <w:shd w:val="clear" w:color="auto" w:fill="808080" w:themeFill="background1" w:themeFillShade="80"/>
            <w:noWrap/>
            <w:vAlign w:val="bottom"/>
          </w:tcPr>
          <w:p w:rsidR="00E7458E" w:rsidRPr="00D40DC4" w:rsidRDefault="00E7458E" w:rsidP="00583B66">
            <w:pPr>
              <w:spacing w:after="0"/>
              <w:rPr>
                <w:rFonts w:cs="Arial"/>
                <w:szCs w:val="20"/>
              </w:rPr>
            </w:pPr>
          </w:p>
        </w:tc>
        <w:tc>
          <w:tcPr>
            <w:tcW w:w="1101" w:type="pct"/>
            <w:shd w:val="clear" w:color="auto" w:fill="auto"/>
            <w:vAlign w:val="bottom"/>
          </w:tcPr>
          <w:p w:rsidR="00E7458E" w:rsidRPr="00D40DC4" w:rsidRDefault="00E7458E" w:rsidP="00583B66">
            <w:pPr>
              <w:spacing w:after="0"/>
              <w:rPr>
                <w:rFonts w:cs="Arial"/>
                <w:szCs w:val="20"/>
              </w:rPr>
            </w:pPr>
          </w:p>
        </w:tc>
        <w:tc>
          <w:tcPr>
            <w:tcW w:w="1101" w:type="pct"/>
            <w:shd w:val="clear" w:color="auto" w:fill="auto"/>
          </w:tcPr>
          <w:p w:rsidR="00E7458E" w:rsidRPr="00D40DC4" w:rsidRDefault="00E7458E" w:rsidP="00583B66">
            <w:pPr>
              <w:spacing w:after="0"/>
              <w:rPr>
                <w:rFonts w:cs="Arial"/>
                <w:szCs w:val="20"/>
              </w:rPr>
            </w:pPr>
          </w:p>
        </w:tc>
      </w:tr>
      <w:tr w:rsidR="00E7458E" w:rsidRPr="00D40DC4" w:rsidTr="00971400">
        <w:trPr>
          <w:trHeight w:val="255"/>
        </w:trPr>
        <w:tc>
          <w:tcPr>
            <w:tcW w:w="1872" w:type="pct"/>
            <w:shd w:val="clear" w:color="auto" w:fill="auto"/>
            <w:noWrap/>
            <w:vAlign w:val="center"/>
          </w:tcPr>
          <w:p w:rsidR="00E7458E" w:rsidRPr="00D40DC4" w:rsidRDefault="00E7458E" w:rsidP="00583B66">
            <w:pPr>
              <w:spacing w:after="0"/>
            </w:pPr>
            <w:r w:rsidRPr="00D40DC4">
              <w:rPr>
                <w:rFonts w:cs="Arial"/>
                <w:szCs w:val="20"/>
              </w:rPr>
              <w:t>Nem elszámolható költség</w:t>
            </w:r>
            <w:r w:rsidR="00022EBF" w:rsidRPr="00D40DC4">
              <w:rPr>
                <w:rFonts w:cs="Arial"/>
                <w:szCs w:val="20"/>
              </w:rPr>
              <w:t xml:space="preserve"> (NEC)</w:t>
            </w:r>
          </w:p>
        </w:tc>
        <w:tc>
          <w:tcPr>
            <w:tcW w:w="926" w:type="pct"/>
            <w:shd w:val="clear" w:color="auto" w:fill="808080" w:themeFill="background1" w:themeFillShade="80"/>
            <w:noWrap/>
            <w:vAlign w:val="bottom"/>
          </w:tcPr>
          <w:p w:rsidR="00E7458E" w:rsidRPr="00D40DC4" w:rsidRDefault="00E7458E" w:rsidP="00583B66">
            <w:pPr>
              <w:spacing w:after="0"/>
              <w:rPr>
                <w:rFonts w:cs="Arial"/>
                <w:szCs w:val="20"/>
              </w:rPr>
            </w:pPr>
          </w:p>
        </w:tc>
        <w:tc>
          <w:tcPr>
            <w:tcW w:w="1101" w:type="pct"/>
            <w:shd w:val="clear" w:color="auto" w:fill="auto"/>
            <w:vAlign w:val="bottom"/>
          </w:tcPr>
          <w:p w:rsidR="00E7458E" w:rsidRPr="00D40DC4" w:rsidRDefault="00E7458E" w:rsidP="00583B66">
            <w:pPr>
              <w:spacing w:after="0"/>
              <w:rPr>
                <w:rFonts w:cs="Arial"/>
                <w:szCs w:val="20"/>
              </w:rPr>
            </w:pPr>
          </w:p>
        </w:tc>
        <w:tc>
          <w:tcPr>
            <w:tcW w:w="1101" w:type="pct"/>
            <w:shd w:val="clear" w:color="auto" w:fill="auto"/>
          </w:tcPr>
          <w:p w:rsidR="00E7458E" w:rsidRPr="00D40DC4" w:rsidRDefault="00E7458E" w:rsidP="00583B66">
            <w:pPr>
              <w:spacing w:after="0"/>
              <w:rPr>
                <w:rFonts w:cs="Arial"/>
                <w:szCs w:val="20"/>
              </w:rPr>
            </w:pPr>
          </w:p>
        </w:tc>
      </w:tr>
      <w:tr w:rsidR="00E7458E" w:rsidRPr="00D40DC4" w:rsidTr="00583B66">
        <w:trPr>
          <w:trHeight w:val="255"/>
        </w:trPr>
        <w:tc>
          <w:tcPr>
            <w:tcW w:w="1872" w:type="pct"/>
            <w:shd w:val="clear" w:color="auto" w:fill="auto"/>
            <w:noWrap/>
            <w:vAlign w:val="center"/>
          </w:tcPr>
          <w:p w:rsidR="00E7458E" w:rsidRPr="00D40DC4" w:rsidRDefault="00E7458E" w:rsidP="00583B66">
            <w:pPr>
              <w:spacing w:after="0"/>
            </w:pPr>
            <w:r w:rsidRPr="00D40DC4">
              <w:rPr>
                <w:rFonts w:cs="Arial"/>
                <w:szCs w:val="20"/>
              </w:rPr>
              <w:t>A támogatási konstrukcióra vonatkozó maximális támogatási arány (R)</w:t>
            </w:r>
          </w:p>
        </w:tc>
        <w:tc>
          <w:tcPr>
            <w:tcW w:w="926" w:type="pct"/>
            <w:shd w:val="clear" w:color="auto" w:fill="auto"/>
            <w:noWrap/>
            <w:vAlign w:val="bottom"/>
          </w:tcPr>
          <w:p w:rsidR="00E7458E" w:rsidRPr="00D40DC4" w:rsidRDefault="00E7458E" w:rsidP="00583B66">
            <w:pPr>
              <w:spacing w:after="0"/>
              <w:rPr>
                <w:rFonts w:cs="Arial"/>
                <w:szCs w:val="20"/>
              </w:rPr>
            </w:pPr>
          </w:p>
        </w:tc>
        <w:tc>
          <w:tcPr>
            <w:tcW w:w="1101" w:type="pct"/>
            <w:shd w:val="clear" w:color="auto" w:fill="auto"/>
            <w:vAlign w:val="bottom"/>
          </w:tcPr>
          <w:p w:rsidR="00E7458E" w:rsidRPr="00D40DC4" w:rsidRDefault="00E7458E" w:rsidP="00583B66">
            <w:pPr>
              <w:spacing w:after="0"/>
              <w:rPr>
                <w:rFonts w:cs="Arial"/>
                <w:szCs w:val="20"/>
              </w:rPr>
            </w:pPr>
          </w:p>
        </w:tc>
        <w:tc>
          <w:tcPr>
            <w:tcW w:w="1101" w:type="pct"/>
            <w:shd w:val="clear" w:color="auto" w:fill="auto"/>
          </w:tcPr>
          <w:p w:rsidR="00E7458E" w:rsidRPr="00D40DC4" w:rsidRDefault="00E7458E" w:rsidP="00583B66">
            <w:pPr>
              <w:spacing w:after="0"/>
              <w:rPr>
                <w:rFonts w:cs="Arial"/>
                <w:szCs w:val="20"/>
              </w:rPr>
            </w:pPr>
          </w:p>
        </w:tc>
      </w:tr>
      <w:tr w:rsidR="00E7458E" w:rsidRPr="00D40DC4" w:rsidTr="00583B66">
        <w:trPr>
          <w:trHeight w:val="255"/>
        </w:trPr>
        <w:tc>
          <w:tcPr>
            <w:tcW w:w="1872" w:type="pct"/>
            <w:shd w:val="clear" w:color="auto" w:fill="auto"/>
            <w:noWrap/>
            <w:vAlign w:val="center"/>
          </w:tcPr>
          <w:p w:rsidR="00E7458E" w:rsidRPr="00D40DC4" w:rsidRDefault="00E7458E">
            <w:pPr>
              <w:spacing w:after="0"/>
              <w:rPr>
                <w:rFonts w:cs="Arial"/>
                <w:b/>
                <w:szCs w:val="20"/>
              </w:rPr>
            </w:pPr>
            <w:r w:rsidRPr="00D40DC4">
              <w:rPr>
                <w:rFonts w:cs="Arial"/>
                <w:b/>
                <w:szCs w:val="20"/>
              </w:rPr>
              <w:t>A támogatás összege</w:t>
            </w:r>
            <w:r w:rsidR="00022EBF" w:rsidRPr="00D40DC4">
              <w:rPr>
                <w:rFonts w:cs="Arial"/>
                <w:b/>
                <w:szCs w:val="20"/>
              </w:rPr>
              <w:t xml:space="preserve">, azaz </w:t>
            </w:r>
            <w:r w:rsidRPr="00D40DC4">
              <w:rPr>
                <w:rFonts w:cs="Arial"/>
                <w:b/>
                <w:szCs w:val="20"/>
              </w:rPr>
              <w:t>OP támogatás (</w:t>
            </w:r>
            <w:r w:rsidR="00022EBF" w:rsidRPr="00D40DC4">
              <w:rPr>
                <w:rFonts w:cs="Arial"/>
                <w:b/>
                <w:szCs w:val="20"/>
              </w:rPr>
              <w:t>DA=</w:t>
            </w:r>
            <w:r w:rsidRPr="00D40DC4">
              <w:rPr>
                <w:rFonts w:cs="Arial"/>
                <w:b/>
                <w:szCs w:val="20"/>
              </w:rPr>
              <w:t>EC*R)</w:t>
            </w:r>
          </w:p>
        </w:tc>
        <w:tc>
          <w:tcPr>
            <w:tcW w:w="926" w:type="pct"/>
            <w:shd w:val="clear" w:color="auto" w:fill="auto"/>
            <w:noWrap/>
            <w:vAlign w:val="bottom"/>
          </w:tcPr>
          <w:p w:rsidR="00E7458E" w:rsidRPr="00D40DC4" w:rsidRDefault="00E7458E" w:rsidP="00583B66">
            <w:pPr>
              <w:spacing w:after="0"/>
              <w:rPr>
                <w:rFonts w:cs="Arial"/>
                <w:b/>
                <w:szCs w:val="20"/>
              </w:rPr>
            </w:pPr>
          </w:p>
        </w:tc>
        <w:tc>
          <w:tcPr>
            <w:tcW w:w="1101" w:type="pct"/>
            <w:shd w:val="clear" w:color="auto" w:fill="auto"/>
            <w:vAlign w:val="bottom"/>
          </w:tcPr>
          <w:p w:rsidR="00E7458E" w:rsidRPr="00D40DC4" w:rsidRDefault="00E7458E" w:rsidP="00583B66">
            <w:pPr>
              <w:spacing w:after="0"/>
              <w:rPr>
                <w:rFonts w:cs="Arial"/>
                <w:b/>
                <w:szCs w:val="20"/>
              </w:rPr>
            </w:pPr>
          </w:p>
        </w:tc>
        <w:tc>
          <w:tcPr>
            <w:tcW w:w="1101" w:type="pct"/>
            <w:shd w:val="clear" w:color="auto" w:fill="auto"/>
          </w:tcPr>
          <w:p w:rsidR="00E7458E" w:rsidRPr="00D40DC4" w:rsidRDefault="00E7458E" w:rsidP="00583B66">
            <w:pPr>
              <w:spacing w:after="0"/>
              <w:rPr>
                <w:rFonts w:cs="Arial"/>
                <w:b/>
                <w:szCs w:val="20"/>
              </w:rPr>
            </w:pPr>
          </w:p>
        </w:tc>
      </w:tr>
      <w:tr w:rsidR="00022EBF" w:rsidRPr="00D40DC4" w:rsidTr="00022E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022EBF" w:rsidRPr="00D40DC4" w:rsidRDefault="00022EBF" w:rsidP="0095222C">
            <w:pPr>
              <w:spacing w:after="0"/>
              <w:rPr>
                <w:rFonts w:cs="Arial"/>
                <w:b/>
                <w:szCs w:val="20"/>
              </w:rPr>
            </w:pPr>
            <w:r w:rsidRPr="00D40DC4">
              <w:rPr>
                <w:b/>
              </w:rPr>
              <w:t>Kedvezményezett hozzájárulása (=EC-DA+NEC)</w:t>
            </w:r>
          </w:p>
        </w:tc>
        <w:tc>
          <w:tcPr>
            <w:tcW w:w="926" w:type="pct"/>
            <w:tcBorders>
              <w:top w:val="nil"/>
              <w:left w:val="nil"/>
              <w:bottom w:val="single" w:sz="4" w:space="0" w:color="auto"/>
              <w:right w:val="single" w:sz="4" w:space="0" w:color="auto"/>
            </w:tcBorders>
            <w:shd w:val="clear" w:color="auto" w:fill="auto"/>
            <w:noWrap/>
            <w:vAlign w:val="bottom"/>
          </w:tcPr>
          <w:p w:rsidR="00022EBF" w:rsidRPr="00D40DC4" w:rsidRDefault="00022EBF"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vAlign w:val="bottom"/>
          </w:tcPr>
          <w:p w:rsidR="00022EBF" w:rsidRPr="00D40DC4" w:rsidRDefault="00022EBF" w:rsidP="0095222C">
            <w:pPr>
              <w:spacing w:after="0"/>
              <w:rPr>
                <w:rFonts w:cs="Arial"/>
                <w:b/>
                <w:szCs w:val="20"/>
              </w:rPr>
            </w:pPr>
          </w:p>
        </w:tc>
        <w:tc>
          <w:tcPr>
            <w:tcW w:w="1101" w:type="pct"/>
            <w:tcBorders>
              <w:top w:val="single" w:sz="4" w:space="0" w:color="auto"/>
              <w:left w:val="nil"/>
              <w:bottom w:val="single" w:sz="4" w:space="0" w:color="auto"/>
              <w:right w:val="single" w:sz="4" w:space="0" w:color="auto"/>
            </w:tcBorders>
          </w:tcPr>
          <w:p w:rsidR="00022EBF" w:rsidRPr="00D40DC4" w:rsidRDefault="00022EBF" w:rsidP="0095222C">
            <w:pPr>
              <w:spacing w:after="0"/>
              <w:rPr>
                <w:rFonts w:cs="Arial"/>
                <w:b/>
                <w:szCs w:val="20"/>
              </w:rPr>
            </w:pPr>
          </w:p>
        </w:tc>
      </w:tr>
      <w:tr w:rsidR="00022EBF" w:rsidRPr="00D40DC4" w:rsidTr="00022E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022EBF" w:rsidRPr="00D40DC4" w:rsidRDefault="00022EBF" w:rsidP="0095222C">
            <w:pPr>
              <w:spacing w:after="0"/>
              <w:rPr>
                <w:rFonts w:cs="Arial"/>
                <w:szCs w:val="20"/>
              </w:rPr>
            </w:pPr>
            <w:r w:rsidRPr="00D40DC4">
              <w:t>Prioritási tengelyre vonatkozó maximális társfinanszírozási ráta (Max CRpa)*</w:t>
            </w:r>
          </w:p>
        </w:tc>
        <w:tc>
          <w:tcPr>
            <w:tcW w:w="926" w:type="pct"/>
            <w:tcBorders>
              <w:top w:val="nil"/>
              <w:left w:val="nil"/>
              <w:bottom w:val="single" w:sz="4" w:space="0" w:color="auto"/>
              <w:right w:val="single" w:sz="4" w:space="0" w:color="auto"/>
            </w:tcBorders>
            <w:shd w:val="clear" w:color="auto" w:fill="auto"/>
            <w:noWrap/>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022EBF" w:rsidRPr="00D40DC4" w:rsidRDefault="00022EBF" w:rsidP="0095222C">
            <w:pPr>
              <w:spacing w:after="0"/>
              <w:rPr>
                <w:rFonts w:cs="Arial"/>
                <w:szCs w:val="20"/>
              </w:rPr>
            </w:pPr>
          </w:p>
        </w:tc>
      </w:tr>
      <w:tr w:rsidR="00022EBF" w:rsidRPr="00D40DC4" w:rsidTr="00022E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022EBF" w:rsidRPr="00D40DC4" w:rsidRDefault="00022EBF" w:rsidP="0095222C">
            <w:pPr>
              <w:spacing w:after="0"/>
              <w:rPr>
                <w:rFonts w:cs="Arial"/>
                <w:szCs w:val="20"/>
              </w:rPr>
            </w:pPr>
            <w:r w:rsidRPr="00D40DC4">
              <w:t>EU támogatás (=DA*max CRpa)*</w:t>
            </w:r>
          </w:p>
        </w:tc>
        <w:tc>
          <w:tcPr>
            <w:tcW w:w="926" w:type="pct"/>
            <w:tcBorders>
              <w:top w:val="nil"/>
              <w:left w:val="nil"/>
              <w:bottom w:val="single" w:sz="4" w:space="0" w:color="auto"/>
              <w:right w:val="single" w:sz="4" w:space="0" w:color="auto"/>
            </w:tcBorders>
            <w:shd w:val="clear" w:color="auto" w:fill="auto"/>
            <w:noWrap/>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022EBF" w:rsidRPr="00D40DC4" w:rsidRDefault="00022EBF" w:rsidP="0095222C">
            <w:pPr>
              <w:spacing w:after="0"/>
              <w:rPr>
                <w:rFonts w:cs="Arial"/>
                <w:szCs w:val="20"/>
              </w:rPr>
            </w:pPr>
          </w:p>
        </w:tc>
      </w:tr>
      <w:tr w:rsidR="00022EBF" w:rsidRPr="00D40DC4" w:rsidTr="00022E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rsidR="00022EBF" w:rsidRPr="00D40DC4" w:rsidRDefault="00022EBF" w:rsidP="0095222C">
            <w:pPr>
              <w:spacing w:after="0"/>
              <w:rPr>
                <w:rFonts w:cs="Arial"/>
                <w:szCs w:val="20"/>
              </w:rPr>
            </w:pPr>
            <w:r w:rsidRPr="00D40DC4">
              <w:t>Összes nemzeti hozzájárulás (összes beruházási költség – EU támogatás)*</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rsidR="00022EBF" w:rsidRPr="00D40DC4" w:rsidRDefault="00022EBF" w:rsidP="0095222C">
            <w:pPr>
              <w:spacing w:after="0"/>
              <w:rPr>
                <w:rFonts w:cs="Arial"/>
                <w:szCs w:val="20"/>
              </w:rPr>
            </w:pPr>
          </w:p>
        </w:tc>
        <w:tc>
          <w:tcPr>
            <w:tcW w:w="1101" w:type="pct"/>
            <w:tcBorders>
              <w:top w:val="single" w:sz="4" w:space="0" w:color="auto"/>
              <w:left w:val="nil"/>
              <w:bottom w:val="single" w:sz="4" w:space="0" w:color="auto"/>
              <w:right w:val="single" w:sz="4" w:space="0" w:color="auto"/>
            </w:tcBorders>
          </w:tcPr>
          <w:p w:rsidR="00022EBF" w:rsidRPr="00D40DC4" w:rsidRDefault="00022EBF" w:rsidP="0095222C">
            <w:pPr>
              <w:spacing w:after="0"/>
              <w:rPr>
                <w:rFonts w:cs="Arial"/>
                <w:szCs w:val="20"/>
              </w:rPr>
            </w:pPr>
          </w:p>
        </w:tc>
      </w:tr>
    </w:tbl>
    <w:p w:rsidR="00022EBF" w:rsidRPr="00D40DC4" w:rsidRDefault="00022EBF" w:rsidP="00971400">
      <w:r w:rsidRPr="00D40DC4">
        <w:t>* Csak nagyprojektnél kell kitölteni</w:t>
      </w:r>
    </w:p>
    <w:p w:rsidR="00124071" w:rsidRPr="00D40DC4" w:rsidRDefault="00124071" w:rsidP="005A76C2">
      <w:pPr>
        <w:pStyle w:val="Cmsor4"/>
      </w:pPr>
      <w:r w:rsidRPr="00D40DC4">
        <w:t xml:space="preserve">Támogatási összeg meghatározása </w:t>
      </w:r>
      <w:r w:rsidR="00CE4EEF" w:rsidRPr="00D40DC4">
        <w:t>működési eredményt figyelembe vevő állami támogatások esetén</w:t>
      </w:r>
    </w:p>
    <w:p w:rsidR="0026364D" w:rsidRPr="00D40DC4" w:rsidRDefault="0026364D" w:rsidP="0026364D">
      <w:pPr>
        <w:rPr>
          <w:rFonts w:cs="Arial"/>
        </w:rPr>
      </w:pPr>
      <w:r w:rsidRPr="00D40DC4">
        <w:rPr>
          <w:rFonts w:cs="Arial"/>
        </w:rPr>
        <w:t>A támogatás összeg</w:t>
      </w:r>
      <w:r w:rsidR="00436A00" w:rsidRPr="00D40DC4">
        <w:rPr>
          <w:rFonts w:cs="Arial"/>
        </w:rPr>
        <w:t>e</w:t>
      </w:r>
      <w:r w:rsidRPr="00D40DC4">
        <w:rPr>
          <w:rFonts w:cs="Arial"/>
        </w:rPr>
        <w:t xml:space="preserve"> nem haladhatja meg az elszámolható költségeknek és a beruházás működési eredményének a különbségét. Az infrastruktúra üzemeltetője az adott időszak alatt ésszerű nyereséget tarthat meg, ha ezt az adott államit támogatásra vonatkozó szabály nevesíti.</w:t>
      </w:r>
    </w:p>
    <w:p w:rsidR="004C0F90" w:rsidRPr="00D40DC4" w:rsidRDefault="004C0F90" w:rsidP="0026364D">
      <w:pPr>
        <w:rPr>
          <w:rFonts w:cs="Arial"/>
        </w:rPr>
      </w:pPr>
      <w:r w:rsidRPr="00D40DC4">
        <w:rPr>
          <w:rFonts w:cs="Arial"/>
        </w:rPr>
        <w:t>A vonatkozó szabályozás szerint (a Bizottság 651/2014/EU rendelete) a működési eredmény a beruházás adott időtartama alatti diszkontált bevételek és diszkontált működési költségek közötti különbség, amennyiben ez a különbség pozitív. A működési költségek közé tartoznak az olyan költségek, mint a személyi jellegű ráfordítások, az anyagköltségek, a szerződéses szolgáltatások, a távközlés, az energia és a karbantartás költségei, a bérleti díjak, az adminisztrációs költségek, de e rendelet alkalmazásában nem tartoznak bele az értékcsökkenési és a finanszírozási költségek, ha azokat beruházási támogatásból fedezték.</w:t>
      </w:r>
    </w:p>
    <w:p w:rsidR="00436A00" w:rsidRPr="00D40DC4" w:rsidRDefault="00436A00" w:rsidP="0026364D">
      <w:pPr>
        <w:rPr>
          <w:rFonts w:cs="Arial"/>
        </w:rPr>
      </w:pPr>
      <w:r w:rsidRPr="00D40DC4">
        <w:rPr>
          <w:rFonts w:cs="Arial"/>
        </w:rPr>
        <w:t>A bevételek és a működési költségek tekintetében figyelemmel kell lenni arra, hogy a diszkontálás, eltérően a nem állami támogatású projektektől, a TVI által közzétett leszámítolási kamatlábbal történik.</w:t>
      </w:r>
    </w:p>
    <w:p w:rsidR="00436A00" w:rsidRPr="00D40DC4" w:rsidRDefault="00436A00" w:rsidP="0026364D">
      <w:pPr>
        <w:rPr>
          <w:rFonts w:cs="Arial"/>
        </w:rPr>
      </w:pPr>
      <w:r w:rsidRPr="00D40DC4">
        <w:rPr>
          <w:rFonts w:cs="Arial"/>
        </w:rPr>
        <w:t>A támogatási összeg számítása logikailag megegyezik a nem állami támogatás</w:t>
      </w:r>
      <w:r w:rsidR="00D84B8B" w:rsidRPr="00D40DC4">
        <w:rPr>
          <w:rFonts w:cs="Arial"/>
        </w:rPr>
        <w:t xml:space="preserve"> alá es</w:t>
      </w:r>
      <w:r w:rsidRPr="00D40DC4">
        <w:rPr>
          <w:rFonts w:cs="Arial"/>
        </w:rPr>
        <w:t>ő</w:t>
      </w:r>
      <w:r w:rsidR="00D84B8B" w:rsidRPr="00D40DC4">
        <w:rPr>
          <w:rFonts w:cs="Arial"/>
        </w:rPr>
        <w:t xml:space="preserve"> (közcélú)</w:t>
      </w:r>
      <w:r w:rsidRPr="00D40DC4">
        <w:rPr>
          <w:rFonts w:cs="Arial"/>
        </w:rPr>
        <w:t xml:space="preserve"> projektelemek esetén alkalmazott finanszírozási hiány képlettel. Ennek megfelelően a </w:t>
      </w:r>
      <w:r w:rsidR="00DA2BD1" w:rsidRPr="00D40DC4">
        <w:rPr>
          <w:rFonts w:cs="Arial"/>
        </w:rPr>
        <w:t xml:space="preserve">társfinanszírozási arány mértéke a teljes diszkontált beruházási költség (azaz az elszámolható és a nem elszámolható költségek összege) és a pozitív diszkontált működési eredmény különbsége, elosztva a diszkontált </w:t>
      </w:r>
      <w:r w:rsidR="00C61DEE" w:rsidRPr="00D40DC4">
        <w:rPr>
          <w:rFonts w:cs="Arial"/>
        </w:rPr>
        <w:t xml:space="preserve">teljes </w:t>
      </w:r>
      <w:r w:rsidR="00DA2BD1" w:rsidRPr="00D40DC4">
        <w:rPr>
          <w:rFonts w:cs="Arial"/>
        </w:rPr>
        <w:t>beruházási költséggel. Negatív működési eredmény esetén a társfinanszírozási arány 100%.</w:t>
      </w:r>
    </w:p>
    <w:p w:rsidR="00DA2BD1" w:rsidRPr="00D40DC4" w:rsidRDefault="00DA2BD1" w:rsidP="0026364D">
      <w:pPr>
        <w:rPr>
          <w:rFonts w:cs="Arial"/>
        </w:rPr>
      </w:pPr>
      <w:r w:rsidRPr="00D40DC4">
        <w:rPr>
          <w:rFonts w:cs="Arial"/>
        </w:rPr>
        <w:t>A támogatás összege a (nem diszkontált) elszámolható költségek és a társfinanszírozási arány szorzata. Tehát a nem elszámolható beruházási költség a társfinanszírozási ráta számításakor figyelembe veendő, de a támogatás összegének számításakor figyelmen kívül hagyandó.</w:t>
      </w:r>
    </w:p>
    <w:p w:rsidR="003012AF" w:rsidRPr="00D40DC4" w:rsidRDefault="002C4DE0" w:rsidP="00D20F91">
      <w:pPr>
        <w:pStyle w:val="Tblzat"/>
      </w:pPr>
      <w:r>
        <w:fldChar w:fldCharType="begin"/>
      </w:r>
      <w:r>
        <w:instrText xml:space="preserve"> SEQ táblázat \* ARABIC </w:instrText>
      </w:r>
      <w:r>
        <w:fldChar w:fldCharType="separate"/>
      </w:r>
      <w:bookmarkStart w:id="633" w:name="_Toc436923960"/>
      <w:r w:rsidR="007B4938" w:rsidRPr="00D40DC4">
        <w:rPr>
          <w:noProof/>
        </w:rPr>
        <w:t>27</w:t>
      </w:r>
      <w:r>
        <w:rPr>
          <w:noProof/>
        </w:rPr>
        <w:fldChar w:fldCharType="end"/>
      </w:r>
      <w:r w:rsidR="003012AF" w:rsidRPr="00D40DC4">
        <w:t xml:space="preserve">. táblázat: A támogatás </w:t>
      </w:r>
      <w:r w:rsidR="0046797B" w:rsidRPr="00D40DC4">
        <w:t>meghatározása működési eredményt figyelembe vevő állami támogatások esetén</w:t>
      </w:r>
      <w:bookmarkEnd w:id="633"/>
    </w:p>
    <w:tbl>
      <w:tblPr>
        <w:tblW w:w="4182" w:type="pct"/>
        <w:tblCellMar>
          <w:left w:w="70" w:type="dxa"/>
          <w:right w:w="70" w:type="dxa"/>
        </w:tblCellMar>
        <w:tblLook w:val="04A0" w:firstRow="1" w:lastRow="0" w:firstColumn="1" w:lastColumn="0" w:noHBand="0" w:noVBand="1"/>
      </w:tblPr>
      <w:tblGrid>
        <w:gridCol w:w="4888"/>
        <w:gridCol w:w="1308"/>
        <w:gridCol w:w="1509"/>
      </w:tblGrid>
      <w:tr w:rsidR="00C61DEE" w:rsidRPr="00D40DC4" w:rsidTr="00C61DEE">
        <w:trPr>
          <w:trHeight w:val="255"/>
        </w:trPr>
        <w:tc>
          <w:tcPr>
            <w:tcW w:w="3172" w:type="pct"/>
            <w:tcBorders>
              <w:top w:val="single" w:sz="4" w:space="0" w:color="auto"/>
              <w:left w:val="single" w:sz="4" w:space="0" w:color="auto"/>
              <w:bottom w:val="single" w:sz="4" w:space="0" w:color="auto"/>
              <w:right w:val="single" w:sz="4" w:space="0" w:color="auto"/>
            </w:tcBorders>
            <w:shd w:val="clear" w:color="000000" w:fill="99CCFF"/>
            <w:noWrap/>
            <w:vAlign w:val="center"/>
            <w:hideMark/>
          </w:tcPr>
          <w:p w:rsidR="00C61DEE" w:rsidRPr="00D40DC4" w:rsidRDefault="00C61DEE" w:rsidP="00DA2BD1">
            <w:pPr>
              <w:spacing w:after="0"/>
              <w:jc w:val="center"/>
              <w:rPr>
                <w:rFonts w:eastAsia="Times New Roman" w:cs="Arial"/>
                <w:b/>
                <w:bCs/>
                <w:color w:val="000000"/>
                <w:szCs w:val="20"/>
                <w:lang w:eastAsia="hu-HU"/>
              </w:rPr>
            </w:pPr>
            <w:r w:rsidRPr="00D40DC4">
              <w:rPr>
                <w:rFonts w:eastAsia="Times New Roman" w:cs="Arial"/>
                <w:b/>
                <w:bCs/>
                <w:color w:val="000000"/>
                <w:szCs w:val="20"/>
                <w:lang w:eastAsia="hu-HU"/>
              </w:rPr>
              <w:t>Megnevezés</w:t>
            </w:r>
          </w:p>
        </w:tc>
        <w:tc>
          <w:tcPr>
            <w:tcW w:w="849" w:type="pct"/>
            <w:tcBorders>
              <w:top w:val="single" w:sz="4" w:space="0" w:color="auto"/>
              <w:left w:val="nil"/>
              <w:bottom w:val="single" w:sz="4" w:space="0" w:color="auto"/>
              <w:right w:val="single" w:sz="4" w:space="0" w:color="auto"/>
            </w:tcBorders>
            <w:shd w:val="clear" w:color="000000" w:fill="99CCFF"/>
            <w:noWrap/>
            <w:vAlign w:val="center"/>
            <w:hideMark/>
          </w:tcPr>
          <w:p w:rsidR="00C61DEE" w:rsidRPr="00D40DC4" w:rsidRDefault="00C61DEE" w:rsidP="00DA2BD1">
            <w:pPr>
              <w:spacing w:after="0"/>
              <w:jc w:val="center"/>
              <w:rPr>
                <w:rFonts w:eastAsia="Times New Roman" w:cs="Arial"/>
                <w:b/>
                <w:bCs/>
                <w:color w:val="000000"/>
                <w:szCs w:val="20"/>
                <w:lang w:eastAsia="hu-HU"/>
              </w:rPr>
            </w:pPr>
            <w:r w:rsidRPr="00D40DC4">
              <w:rPr>
                <w:rFonts w:eastAsia="Times New Roman" w:cs="Arial"/>
                <w:b/>
                <w:bCs/>
                <w:color w:val="000000"/>
                <w:szCs w:val="20"/>
                <w:lang w:eastAsia="hu-HU"/>
              </w:rPr>
              <w:t>%</w:t>
            </w:r>
          </w:p>
        </w:tc>
        <w:tc>
          <w:tcPr>
            <w:tcW w:w="979" w:type="pct"/>
            <w:tcBorders>
              <w:top w:val="single" w:sz="4" w:space="0" w:color="auto"/>
              <w:left w:val="nil"/>
              <w:bottom w:val="single" w:sz="4" w:space="0" w:color="auto"/>
              <w:right w:val="single" w:sz="4" w:space="0" w:color="auto"/>
            </w:tcBorders>
            <w:shd w:val="clear" w:color="000000" w:fill="99CCFF"/>
            <w:vAlign w:val="center"/>
            <w:hideMark/>
          </w:tcPr>
          <w:p w:rsidR="00C61DEE" w:rsidRPr="00D40DC4" w:rsidRDefault="00C61DEE" w:rsidP="00DA2BD1">
            <w:pPr>
              <w:spacing w:after="0"/>
              <w:jc w:val="center"/>
              <w:rPr>
                <w:rFonts w:eastAsia="Times New Roman" w:cs="Arial"/>
                <w:b/>
                <w:bCs/>
                <w:color w:val="000000"/>
                <w:szCs w:val="20"/>
                <w:lang w:eastAsia="hu-HU"/>
              </w:rPr>
            </w:pPr>
            <w:r w:rsidRPr="00D40DC4">
              <w:rPr>
                <w:rFonts w:eastAsia="Times New Roman" w:cs="Arial"/>
                <w:b/>
                <w:bCs/>
                <w:color w:val="000000"/>
                <w:szCs w:val="20"/>
                <w:lang w:eastAsia="hu-HU"/>
              </w:rPr>
              <w:t>Ft</w:t>
            </w: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Diszkontált beruházási költség (DIC)</w:t>
            </w:r>
          </w:p>
        </w:tc>
        <w:tc>
          <w:tcPr>
            <w:tcW w:w="849" w:type="pct"/>
            <w:tcBorders>
              <w:top w:val="nil"/>
              <w:left w:val="nil"/>
              <w:bottom w:val="single" w:sz="4" w:space="0" w:color="auto"/>
              <w:right w:val="single" w:sz="4" w:space="0" w:color="auto"/>
            </w:tcBorders>
            <w:shd w:val="clear" w:color="000000" w:fill="808080"/>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 </w:t>
            </w: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Diszkontált működési eredmény (DNOP)</w:t>
            </w:r>
          </w:p>
        </w:tc>
        <w:tc>
          <w:tcPr>
            <w:tcW w:w="849" w:type="pct"/>
            <w:tcBorders>
              <w:top w:val="nil"/>
              <w:left w:val="nil"/>
              <w:bottom w:val="single" w:sz="4" w:space="0" w:color="auto"/>
              <w:right w:val="single" w:sz="4" w:space="0" w:color="auto"/>
            </w:tcBorders>
            <w:shd w:val="clear" w:color="000000" w:fill="808080"/>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 </w:t>
            </w: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Társfinanszírozási arány (R=(DIC-DNOP)/DIC)</w:t>
            </w:r>
          </w:p>
        </w:tc>
        <w:tc>
          <w:tcPr>
            <w:tcW w:w="849" w:type="pct"/>
            <w:tcBorders>
              <w:top w:val="nil"/>
              <w:left w:val="nil"/>
              <w:bottom w:val="single" w:sz="4" w:space="0" w:color="auto"/>
              <w:right w:val="single" w:sz="4" w:space="0" w:color="auto"/>
            </w:tcBorders>
            <w:shd w:val="clear" w:color="auto" w:fill="auto"/>
            <w:noWrap/>
            <w:vAlign w:val="center"/>
            <w:hideMark/>
          </w:tcPr>
          <w:p w:rsidR="00C61DEE" w:rsidRPr="00D40DC4" w:rsidRDefault="00C61DEE" w:rsidP="00DA2BD1">
            <w:pPr>
              <w:spacing w:after="0"/>
              <w:jc w:val="right"/>
              <w:rPr>
                <w:rFonts w:eastAsia="Times New Roman" w:cs="Arial"/>
                <w:color w:val="000000"/>
                <w:szCs w:val="20"/>
                <w:lang w:eastAsia="hu-HU"/>
              </w:rPr>
            </w:pPr>
          </w:p>
        </w:tc>
        <w:tc>
          <w:tcPr>
            <w:tcW w:w="979" w:type="pct"/>
            <w:tcBorders>
              <w:top w:val="nil"/>
              <w:left w:val="nil"/>
              <w:bottom w:val="single" w:sz="4" w:space="0" w:color="auto"/>
              <w:right w:val="single" w:sz="4" w:space="0" w:color="auto"/>
            </w:tcBorders>
            <w:shd w:val="clear" w:color="000000" w:fill="808080"/>
            <w:noWrap/>
            <w:vAlign w:val="center"/>
          </w:tcPr>
          <w:p w:rsidR="00C61DEE" w:rsidRPr="00D40DC4" w:rsidRDefault="00C61DEE" w:rsidP="00DA2BD1">
            <w:pPr>
              <w:spacing w:after="0"/>
              <w:rPr>
                <w:rFonts w:eastAsia="Times New Roman" w:cs="Arial"/>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Elszámolható költség (EC)</w:t>
            </w:r>
          </w:p>
        </w:tc>
        <w:tc>
          <w:tcPr>
            <w:tcW w:w="849" w:type="pct"/>
            <w:tcBorders>
              <w:top w:val="nil"/>
              <w:left w:val="nil"/>
              <w:bottom w:val="single" w:sz="4" w:space="0" w:color="auto"/>
              <w:right w:val="single" w:sz="4" w:space="0" w:color="auto"/>
            </w:tcBorders>
            <w:shd w:val="clear" w:color="000000" w:fill="808080"/>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 </w:t>
            </w: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Nem elszámolható költség (NEC)</w:t>
            </w:r>
          </w:p>
        </w:tc>
        <w:tc>
          <w:tcPr>
            <w:tcW w:w="849" w:type="pct"/>
            <w:tcBorders>
              <w:top w:val="nil"/>
              <w:left w:val="nil"/>
              <w:bottom w:val="single" w:sz="4" w:space="0" w:color="auto"/>
              <w:right w:val="single" w:sz="4" w:space="0" w:color="auto"/>
            </w:tcBorders>
            <w:shd w:val="clear" w:color="000000" w:fill="808080"/>
            <w:noWrap/>
            <w:vAlign w:val="center"/>
            <w:hideMark/>
          </w:tcPr>
          <w:p w:rsidR="00C61DEE" w:rsidRPr="00D40DC4" w:rsidRDefault="00C61DEE" w:rsidP="00DA2BD1">
            <w:pPr>
              <w:spacing w:after="0"/>
              <w:rPr>
                <w:rFonts w:eastAsia="Times New Roman" w:cs="Arial"/>
                <w:color w:val="000000"/>
                <w:szCs w:val="20"/>
                <w:lang w:eastAsia="hu-HU"/>
              </w:rPr>
            </w:pPr>
            <w:r w:rsidRPr="00D40DC4">
              <w:rPr>
                <w:rFonts w:eastAsia="Times New Roman" w:cs="Arial"/>
                <w:color w:val="000000"/>
                <w:szCs w:val="20"/>
                <w:lang w:eastAsia="hu-HU"/>
              </w:rPr>
              <w:t> </w:t>
            </w: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b/>
                <w:bCs/>
                <w:color w:val="000000"/>
                <w:szCs w:val="20"/>
                <w:lang w:eastAsia="hu-HU"/>
              </w:rPr>
            </w:pPr>
            <w:r w:rsidRPr="00D40DC4">
              <w:rPr>
                <w:rFonts w:eastAsia="Times New Roman" w:cs="Arial"/>
                <w:b/>
                <w:bCs/>
                <w:color w:val="000000"/>
                <w:szCs w:val="20"/>
                <w:lang w:eastAsia="hu-HU"/>
              </w:rPr>
              <w:t>A támogatás összege (DA=EC*R)</w:t>
            </w:r>
          </w:p>
        </w:tc>
        <w:tc>
          <w:tcPr>
            <w:tcW w:w="849" w:type="pct"/>
            <w:tcBorders>
              <w:top w:val="nil"/>
              <w:left w:val="nil"/>
              <w:bottom w:val="single" w:sz="4" w:space="0" w:color="auto"/>
              <w:right w:val="single" w:sz="4" w:space="0" w:color="auto"/>
            </w:tcBorders>
            <w:shd w:val="clear" w:color="auto" w:fill="auto"/>
            <w:noWrap/>
            <w:vAlign w:val="center"/>
          </w:tcPr>
          <w:p w:rsidR="00C61DEE" w:rsidRPr="00D40DC4" w:rsidRDefault="00C61DEE" w:rsidP="00DA2BD1">
            <w:pPr>
              <w:spacing w:after="0"/>
              <w:jc w:val="right"/>
              <w:rPr>
                <w:rFonts w:eastAsia="Times New Roman" w:cs="Arial"/>
                <w:b/>
                <w:bCs/>
                <w:color w:val="000000"/>
                <w:szCs w:val="20"/>
                <w:lang w:eastAsia="hu-HU"/>
              </w:rPr>
            </w:pP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b/>
                <w:bCs/>
                <w:color w:val="000000"/>
                <w:szCs w:val="20"/>
                <w:lang w:eastAsia="hu-HU"/>
              </w:rPr>
            </w:pPr>
          </w:p>
        </w:tc>
      </w:tr>
      <w:tr w:rsidR="00C61DEE" w:rsidRPr="00D40DC4" w:rsidTr="00C61DEE">
        <w:trPr>
          <w:trHeight w:val="255"/>
        </w:trPr>
        <w:tc>
          <w:tcPr>
            <w:tcW w:w="3172" w:type="pct"/>
            <w:tcBorders>
              <w:top w:val="nil"/>
              <w:left w:val="single" w:sz="4" w:space="0" w:color="auto"/>
              <w:bottom w:val="single" w:sz="4" w:space="0" w:color="auto"/>
              <w:right w:val="single" w:sz="4" w:space="0" w:color="auto"/>
            </w:tcBorders>
            <w:shd w:val="clear" w:color="auto" w:fill="auto"/>
            <w:noWrap/>
            <w:vAlign w:val="center"/>
            <w:hideMark/>
          </w:tcPr>
          <w:p w:rsidR="00C61DEE" w:rsidRPr="00D40DC4" w:rsidRDefault="00C61DEE" w:rsidP="00DA2BD1">
            <w:pPr>
              <w:spacing w:after="0"/>
              <w:rPr>
                <w:rFonts w:eastAsia="Times New Roman" w:cs="Arial"/>
                <w:b/>
                <w:bCs/>
                <w:color w:val="000000"/>
                <w:szCs w:val="20"/>
                <w:lang w:eastAsia="hu-HU"/>
              </w:rPr>
            </w:pPr>
            <w:r w:rsidRPr="00D40DC4">
              <w:rPr>
                <w:rFonts w:eastAsia="Times New Roman" w:cs="Arial"/>
                <w:b/>
                <w:bCs/>
                <w:color w:val="000000"/>
                <w:szCs w:val="20"/>
                <w:lang w:eastAsia="hu-HU"/>
              </w:rPr>
              <w:t>Kedvezményezett hozzájárulása (=EC-DA+NEC)</w:t>
            </w:r>
          </w:p>
        </w:tc>
        <w:tc>
          <w:tcPr>
            <w:tcW w:w="849" w:type="pct"/>
            <w:tcBorders>
              <w:top w:val="nil"/>
              <w:left w:val="nil"/>
              <w:bottom w:val="single" w:sz="4" w:space="0" w:color="auto"/>
              <w:right w:val="single" w:sz="4" w:space="0" w:color="auto"/>
            </w:tcBorders>
            <w:shd w:val="clear" w:color="auto" w:fill="auto"/>
            <w:noWrap/>
            <w:vAlign w:val="center"/>
          </w:tcPr>
          <w:p w:rsidR="00C61DEE" w:rsidRPr="00D40DC4" w:rsidRDefault="00C61DEE" w:rsidP="00DA2BD1">
            <w:pPr>
              <w:spacing w:after="0"/>
              <w:jc w:val="right"/>
              <w:rPr>
                <w:rFonts w:eastAsia="Times New Roman" w:cs="Arial"/>
                <w:b/>
                <w:bCs/>
                <w:color w:val="000000"/>
                <w:szCs w:val="20"/>
                <w:lang w:eastAsia="hu-HU"/>
              </w:rPr>
            </w:pPr>
          </w:p>
        </w:tc>
        <w:tc>
          <w:tcPr>
            <w:tcW w:w="979" w:type="pct"/>
            <w:tcBorders>
              <w:top w:val="nil"/>
              <w:left w:val="nil"/>
              <w:bottom w:val="single" w:sz="4" w:space="0" w:color="auto"/>
              <w:right w:val="single" w:sz="4" w:space="0" w:color="auto"/>
            </w:tcBorders>
            <w:shd w:val="clear" w:color="auto" w:fill="auto"/>
            <w:vAlign w:val="center"/>
          </w:tcPr>
          <w:p w:rsidR="00C61DEE" w:rsidRPr="00D40DC4" w:rsidRDefault="00C61DEE" w:rsidP="00DA2BD1">
            <w:pPr>
              <w:spacing w:after="0"/>
              <w:jc w:val="right"/>
              <w:rPr>
                <w:rFonts w:eastAsia="Times New Roman" w:cs="Arial"/>
                <w:b/>
                <w:bCs/>
                <w:color w:val="000000"/>
                <w:szCs w:val="20"/>
                <w:lang w:eastAsia="hu-HU"/>
              </w:rPr>
            </w:pPr>
          </w:p>
        </w:tc>
      </w:tr>
    </w:tbl>
    <w:p w:rsidR="00DA2BD1" w:rsidRPr="00D40DC4" w:rsidRDefault="00DA2BD1" w:rsidP="00D20F91">
      <w:pPr>
        <w:pStyle w:val="Tblzat"/>
      </w:pPr>
    </w:p>
    <w:p w:rsidR="00322396" w:rsidRPr="00D40DC4" w:rsidRDefault="008A2F95" w:rsidP="005A76C2">
      <w:pPr>
        <w:pStyle w:val="Cmsor4"/>
      </w:pPr>
      <w:r w:rsidRPr="00D40DC4">
        <w:t>A támogatási összeg meghatározása több támogatási szabály esetén</w:t>
      </w:r>
    </w:p>
    <w:p w:rsidR="00322396" w:rsidRPr="00D40DC4" w:rsidRDefault="00322396" w:rsidP="00221929">
      <w:pPr>
        <w:rPr>
          <w:rFonts w:cs="Arial"/>
        </w:rPr>
      </w:pPr>
      <w:r w:rsidRPr="00D40DC4">
        <w:rPr>
          <w:rFonts w:cs="Arial"/>
        </w:rPr>
        <w:t>Ha a projekt több támogatási szabály alá is tartozik, akkor a Pályázati Útmutató szerint meg kell osztani a projekt beruházási költségét, a megosztást be kell mutatni és indokolni. Ebben az esetben a különböző támogatási szabály alá tartozó részek támogatásairól az alábbi összesítő táblát is el kell készíteni.</w:t>
      </w:r>
    </w:p>
    <w:p w:rsidR="00322396" w:rsidRPr="00D40DC4" w:rsidRDefault="002C4DE0" w:rsidP="00D20F91">
      <w:pPr>
        <w:pStyle w:val="Tblzat"/>
      </w:pPr>
      <w:r>
        <w:fldChar w:fldCharType="begin"/>
      </w:r>
      <w:r>
        <w:instrText xml:space="preserve"> SEQ táblázat \* ARABIC </w:instrText>
      </w:r>
      <w:r>
        <w:fldChar w:fldCharType="separate"/>
      </w:r>
      <w:bookmarkStart w:id="634" w:name="_Toc436923961"/>
      <w:r w:rsidR="007B4938" w:rsidRPr="00D40DC4">
        <w:rPr>
          <w:noProof/>
        </w:rPr>
        <w:t>28</w:t>
      </w:r>
      <w:r>
        <w:rPr>
          <w:noProof/>
        </w:rPr>
        <w:fldChar w:fldCharType="end"/>
      </w:r>
      <w:r w:rsidR="00322396" w:rsidRPr="00D40DC4">
        <w:t>. táblázat: A támogatás összegzése több támogatási szabály alá tartozó projektnél</w:t>
      </w:r>
      <w:bookmarkEnd w:id="634"/>
      <w:r w:rsidR="00322396" w:rsidRPr="00D40DC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726"/>
        <w:gridCol w:w="1506"/>
        <w:gridCol w:w="1328"/>
      </w:tblGrid>
      <w:tr w:rsidR="004C67E7" w:rsidRPr="00D40DC4" w:rsidTr="00971400">
        <w:trPr>
          <w:cantSplit/>
          <w:trHeight w:val="255"/>
          <w:tblHeader/>
        </w:trPr>
        <w:tc>
          <w:tcPr>
            <w:tcW w:w="1249" w:type="pct"/>
            <w:shd w:val="clear" w:color="auto" w:fill="99CCFF"/>
            <w:vAlign w:val="center"/>
          </w:tcPr>
          <w:p w:rsidR="004C67E7" w:rsidRPr="00D40DC4" w:rsidRDefault="004C67E7" w:rsidP="00583B66">
            <w:pPr>
              <w:spacing w:after="0"/>
              <w:jc w:val="center"/>
              <w:rPr>
                <w:rFonts w:cs="Arial"/>
                <w:b/>
                <w:szCs w:val="20"/>
              </w:rPr>
            </w:pPr>
          </w:p>
        </w:tc>
        <w:tc>
          <w:tcPr>
            <w:tcW w:w="2172" w:type="pct"/>
            <w:shd w:val="clear" w:color="auto" w:fill="99CCFF"/>
            <w:vAlign w:val="center"/>
          </w:tcPr>
          <w:p w:rsidR="004C67E7" w:rsidRPr="00D40DC4" w:rsidRDefault="004C67E7" w:rsidP="00583B66">
            <w:pPr>
              <w:spacing w:after="0"/>
              <w:jc w:val="center"/>
              <w:rPr>
                <w:rFonts w:cs="Arial"/>
                <w:b/>
                <w:szCs w:val="20"/>
              </w:rPr>
            </w:pPr>
            <w:r w:rsidRPr="00D40DC4">
              <w:rPr>
                <w:rFonts w:cs="Arial"/>
                <w:b/>
                <w:szCs w:val="20"/>
              </w:rPr>
              <w:t>Támogatási szabály</w:t>
            </w:r>
          </w:p>
        </w:tc>
        <w:tc>
          <w:tcPr>
            <w:tcW w:w="831" w:type="pct"/>
            <w:shd w:val="clear" w:color="auto" w:fill="99CCFF"/>
            <w:vAlign w:val="center"/>
          </w:tcPr>
          <w:p w:rsidR="004C67E7" w:rsidRPr="00D40DC4" w:rsidRDefault="004C67E7" w:rsidP="00583B66">
            <w:pPr>
              <w:spacing w:after="0"/>
              <w:jc w:val="center"/>
              <w:rPr>
                <w:rFonts w:cs="Arial"/>
                <w:b/>
                <w:szCs w:val="20"/>
              </w:rPr>
            </w:pPr>
            <w:r w:rsidRPr="00D40DC4">
              <w:rPr>
                <w:rFonts w:cs="Arial"/>
                <w:b/>
                <w:szCs w:val="20"/>
              </w:rPr>
              <w:t>Elszámolható költség, Ft</w:t>
            </w:r>
          </w:p>
        </w:tc>
        <w:tc>
          <w:tcPr>
            <w:tcW w:w="749" w:type="pct"/>
            <w:shd w:val="clear" w:color="auto" w:fill="99CCFF"/>
            <w:vAlign w:val="center"/>
          </w:tcPr>
          <w:p w:rsidR="004C67E7" w:rsidRPr="00D40DC4" w:rsidRDefault="004C67E7" w:rsidP="00583B66">
            <w:pPr>
              <w:spacing w:after="0"/>
              <w:jc w:val="center"/>
              <w:rPr>
                <w:rFonts w:cs="Arial"/>
                <w:b/>
                <w:szCs w:val="20"/>
              </w:rPr>
            </w:pPr>
            <w:r w:rsidRPr="00D40DC4">
              <w:rPr>
                <w:rFonts w:cs="Arial"/>
                <w:b/>
                <w:szCs w:val="20"/>
              </w:rPr>
              <w:t>Támogatási összeg, Ft</w:t>
            </w:r>
          </w:p>
        </w:tc>
      </w:tr>
      <w:tr w:rsidR="004C67E7" w:rsidRPr="00D40DC4" w:rsidTr="00583B66">
        <w:trPr>
          <w:cantSplit/>
          <w:trHeight w:val="255"/>
        </w:trPr>
        <w:tc>
          <w:tcPr>
            <w:tcW w:w="1249" w:type="pct"/>
            <w:vMerge w:val="restart"/>
          </w:tcPr>
          <w:p w:rsidR="004C67E7" w:rsidRPr="00D40DC4" w:rsidRDefault="004C67E7" w:rsidP="006F2748">
            <w:pPr>
              <w:numPr>
                <w:ilvl w:val="0"/>
                <w:numId w:val="53"/>
              </w:numPr>
            </w:pPr>
            <w:r w:rsidRPr="00D40DC4">
              <w:t>Állami támogatás</w:t>
            </w: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1249" w:type="pct"/>
            <w:vMerge/>
          </w:tcPr>
          <w:p w:rsidR="004C67E7" w:rsidRPr="00D40DC4" w:rsidRDefault="004C67E7" w:rsidP="006F2748">
            <w:pPr>
              <w:numPr>
                <w:ilvl w:val="0"/>
                <w:numId w:val="53"/>
              </w:numPr>
            </w:pP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1249" w:type="pct"/>
            <w:vMerge w:val="restart"/>
          </w:tcPr>
          <w:p w:rsidR="004C67E7" w:rsidRPr="00D40DC4" w:rsidRDefault="004C67E7" w:rsidP="006F2748">
            <w:pPr>
              <w:numPr>
                <w:ilvl w:val="0"/>
                <w:numId w:val="53"/>
              </w:numPr>
            </w:pPr>
            <w:r w:rsidRPr="00D40DC4">
              <w:t>Közcélú</w:t>
            </w: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1249" w:type="pct"/>
            <w:vMerge/>
          </w:tcPr>
          <w:p w:rsidR="004C67E7" w:rsidRPr="00D40DC4" w:rsidRDefault="004C67E7" w:rsidP="006F2748">
            <w:pPr>
              <w:numPr>
                <w:ilvl w:val="0"/>
                <w:numId w:val="53"/>
              </w:numPr>
            </w:pP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1249" w:type="pct"/>
            <w:vMerge/>
          </w:tcPr>
          <w:p w:rsidR="004C67E7" w:rsidRPr="00D40DC4" w:rsidRDefault="004C67E7" w:rsidP="006F2748">
            <w:pPr>
              <w:numPr>
                <w:ilvl w:val="0"/>
                <w:numId w:val="53"/>
              </w:numPr>
            </w:pP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1249" w:type="pct"/>
            <w:vMerge/>
          </w:tcPr>
          <w:p w:rsidR="004C67E7" w:rsidRPr="00D40DC4" w:rsidRDefault="004C67E7" w:rsidP="006F2748">
            <w:pPr>
              <w:numPr>
                <w:ilvl w:val="0"/>
                <w:numId w:val="53"/>
              </w:numPr>
            </w:pPr>
          </w:p>
        </w:tc>
        <w:tc>
          <w:tcPr>
            <w:tcW w:w="2172" w:type="pct"/>
          </w:tcPr>
          <w:p w:rsidR="004C67E7" w:rsidRPr="00D40DC4" w:rsidRDefault="004C67E7" w:rsidP="006F2748">
            <w:pPr>
              <w:numPr>
                <w:ilvl w:val="0"/>
                <w:numId w:val="38"/>
              </w:numPr>
            </w:pP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r w:rsidR="004C67E7" w:rsidRPr="00D40DC4" w:rsidTr="00583B66">
        <w:trPr>
          <w:cantSplit/>
          <w:trHeight w:val="255"/>
        </w:trPr>
        <w:tc>
          <w:tcPr>
            <w:tcW w:w="3420" w:type="pct"/>
            <w:gridSpan w:val="2"/>
          </w:tcPr>
          <w:p w:rsidR="004C67E7" w:rsidRPr="00D40DC4" w:rsidRDefault="004C67E7" w:rsidP="00583B66">
            <w:pPr>
              <w:spacing w:after="0"/>
              <w:rPr>
                <w:rFonts w:cs="Arial"/>
                <w:b/>
                <w:szCs w:val="20"/>
              </w:rPr>
            </w:pPr>
            <w:r w:rsidRPr="00D40DC4">
              <w:rPr>
                <w:rFonts w:cs="Arial"/>
                <w:b/>
                <w:szCs w:val="20"/>
              </w:rPr>
              <w:t>Összesen</w:t>
            </w:r>
          </w:p>
        </w:tc>
        <w:tc>
          <w:tcPr>
            <w:tcW w:w="831" w:type="pct"/>
          </w:tcPr>
          <w:p w:rsidR="004C67E7" w:rsidRPr="00D40DC4" w:rsidRDefault="004C67E7" w:rsidP="00583B66">
            <w:pPr>
              <w:spacing w:after="0"/>
              <w:rPr>
                <w:rFonts w:cs="Arial"/>
                <w:szCs w:val="20"/>
              </w:rPr>
            </w:pPr>
          </w:p>
        </w:tc>
        <w:tc>
          <w:tcPr>
            <w:tcW w:w="749" w:type="pct"/>
          </w:tcPr>
          <w:p w:rsidR="004C67E7" w:rsidRPr="00D40DC4" w:rsidRDefault="004C67E7" w:rsidP="00583B66">
            <w:pPr>
              <w:spacing w:after="0"/>
              <w:rPr>
                <w:rFonts w:cs="Arial"/>
                <w:szCs w:val="20"/>
              </w:rPr>
            </w:pPr>
          </w:p>
        </w:tc>
      </w:tr>
    </w:tbl>
    <w:p w:rsidR="004C67E7" w:rsidRPr="00D40DC4" w:rsidRDefault="004C67E7" w:rsidP="008C4D4C">
      <w:pPr>
        <w:spacing w:before="120"/>
        <w:rPr>
          <w:rFonts w:cs="Arial"/>
        </w:rPr>
      </w:pPr>
    </w:p>
    <w:p w:rsidR="00322396" w:rsidRPr="00D40DC4" w:rsidRDefault="004C67E7" w:rsidP="008C4D4C">
      <w:pPr>
        <w:spacing w:before="120"/>
        <w:rPr>
          <w:rFonts w:cs="Arial"/>
        </w:rPr>
      </w:pPr>
      <w:r w:rsidRPr="00D40DC4">
        <w:rPr>
          <w:rFonts w:cs="Arial"/>
        </w:rPr>
        <w:t xml:space="preserve">Fontos megjegyezni, hogy amennyiben egy projekt több, egymástól nem függő részből áll, akkor a módszertanilag helyes megoldás az egyes elemek egyenként való vizsgálata. Abban az esetben szükséges az esetlegesen eltérő támogatási szabály alá tartozó részeket együttesen vizsgálni, ha azok egymás </w:t>
      </w:r>
      <w:r w:rsidR="004F5AA9" w:rsidRPr="00D40DC4">
        <w:rPr>
          <w:rFonts w:cs="Arial"/>
        </w:rPr>
        <w:t>feltételei,</w:t>
      </w:r>
      <w:r w:rsidRPr="00D40DC4">
        <w:rPr>
          <w:rFonts w:cs="Arial"/>
        </w:rPr>
        <w:t xml:space="preserve"> vagy ha az együttes megvalósítás szinergiahatása nagyon erős.</w:t>
      </w:r>
    </w:p>
    <w:p w:rsidR="00322396" w:rsidRPr="00D40DC4" w:rsidRDefault="00322396" w:rsidP="00DD7E6C">
      <w:pPr>
        <w:pStyle w:val="Cmsor2"/>
      </w:pPr>
      <w:bookmarkStart w:id="635" w:name="_Toc177825063"/>
      <w:bookmarkStart w:id="636" w:name="_Toc241657538"/>
      <w:bookmarkStart w:id="637" w:name="_Toc228260760"/>
      <w:bookmarkStart w:id="638" w:name="_Ref428192276"/>
      <w:bookmarkStart w:id="639" w:name="_Ref428258456"/>
      <w:bookmarkStart w:id="640" w:name="_Toc436923909"/>
      <w:r w:rsidRPr="00D40DC4">
        <w:t>Pénzügyi fenntarthatóság vizsgálata</w:t>
      </w:r>
      <w:bookmarkEnd w:id="635"/>
      <w:bookmarkEnd w:id="636"/>
      <w:bookmarkEnd w:id="637"/>
      <w:bookmarkEnd w:id="638"/>
      <w:bookmarkEnd w:id="639"/>
      <w:bookmarkEnd w:id="640"/>
    </w:p>
    <w:p w:rsidR="00D67498" w:rsidRPr="00D40DC4" w:rsidRDefault="00322396" w:rsidP="00221929">
      <w:pPr>
        <w:rPr>
          <w:rFonts w:cs="Arial"/>
        </w:rPr>
      </w:pPr>
      <w:r w:rsidRPr="00D40DC4">
        <w:rPr>
          <w:rFonts w:cs="Arial"/>
        </w:rPr>
        <w:t>A pénzügyi fenntarthatóság vizsgálat célja a projekt hosszú távú pénzügyi egyensúlyának bemutatása. Az elemzés során kapott eredmények a kedvezményezett szempontjából kötelezettséget jelentenek.</w:t>
      </w:r>
    </w:p>
    <w:p w:rsidR="00D67498" w:rsidRPr="00D40DC4" w:rsidRDefault="00D67498" w:rsidP="00D67498">
      <w:pPr>
        <w:spacing w:after="160" w:line="259" w:lineRule="auto"/>
        <w:jc w:val="left"/>
      </w:pPr>
      <w:r w:rsidRPr="00D40DC4">
        <w:t xml:space="preserve">A pénzügyi fenntarthatóság elemzésének fő szempontjai a következők: </w:t>
      </w:r>
    </w:p>
    <w:p w:rsidR="00D67498" w:rsidRPr="00D40DC4" w:rsidRDefault="007D3FA1" w:rsidP="006F2748">
      <w:pPr>
        <w:numPr>
          <w:ilvl w:val="0"/>
          <w:numId w:val="39"/>
        </w:numPr>
      </w:pPr>
      <w:r w:rsidRPr="00D40DC4">
        <w:t>A</w:t>
      </w:r>
      <w:r w:rsidR="00D67498" w:rsidRPr="00D40DC4">
        <w:t xml:space="preserve"> projekt pénzügyi fenntarthatósága úgy igazolható, hogy a halmozott (diszkontálatlan) nettó pénzáram éves alapon a teljes vizsgált referencia-időszak során pozitív (vagy nulla); </w:t>
      </w:r>
    </w:p>
    <w:p w:rsidR="00D67498" w:rsidRPr="00D40DC4" w:rsidRDefault="007D3FA1" w:rsidP="006F2748">
      <w:pPr>
        <w:numPr>
          <w:ilvl w:val="0"/>
          <w:numId w:val="39"/>
        </w:numPr>
      </w:pPr>
      <w:r w:rsidRPr="00D40DC4">
        <w:t>A</w:t>
      </w:r>
      <w:r w:rsidR="00D67498" w:rsidRPr="00D40DC4">
        <w:t xml:space="preserve">z ebből a szempontból vizsgált nettó pénzáramok: </w:t>
      </w:r>
    </w:p>
    <w:p w:rsidR="00D67498" w:rsidRPr="00D40DC4" w:rsidRDefault="00D67498" w:rsidP="006F2748">
      <w:pPr>
        <w:numPr>
          <w:ilvl w:val="1"/>
          <w:numId w:val="39"/>
        </w:numPr>
      </w:pPr>
      <w:r w:rsidRPr="00D40DC4">
        <w:t xml:space="preserve">tartalmazzák a beruházási költségeket, valamennyi (nemzeti és uniós) pénzügyi erőforrást és bevételt, az üzemeltetési és pótlási költségeket azok kifizetésének időpontjában, a szervezet pénzügyi kötelezettségeinek törlesztését, valamint a tőkehozzájárulásokat, kamatokat és a közvetlen adókat; </w:t>
      </w:r>
    </w:p>
    <w:p w:rsidR="0044503D" w:rsidRPr="00D40DC4" w:rsidRDefault="00D67498" w:rsidP="006F2748">
      <w:pPr>
        <w:numPr>
          <w:ilvl w:val="1"/>
          <w:numId w:val="39"/>
        </w:numPr>
      </w:pPr>
      <w:r w:rsidRPr="00D40DC4">
        <w:t>nem tartalmazzák az ÁFÁ-t, kivéve</w:t>
      </w:r>
      <w:r w:rsidR="0044503D" w:rsidRPr="00D40DC4">
        <w:t>,</w:t>
      </w:r>
      <w:r w:rsidRPr="00D40DC4">
        <w:t xml:space="preserve"> ha az nem visszaigényelhető; </w:t>
      </w:r>
    </w:p>
    <w:p w:rsidR="00D67498" w:rsidRPr="00D40DC4" w:rsidRDefault="00D67498" w:rsidP="006F2748">
      <w:pPr>
        <w:numPr>
          <w:ilvl w:val="1"/>
          <w:numId w:val="39"/>
        </w:numPr>
      </w:pPr>
      <w:r w:rsidRPr="00D40DC4">
        <w:t xml:space="preserve">nem tartalmazzák a maradványértéket, kivéve, ha az eszköz az elemzés utolsó vizsgált éve során ténylegesen selejtezésre kerül; </w:t>
      </w:r>
    </w:p>
    <w:p w:rsidR="00D67498" w:rsidRPr="00D40DC4" w:rsidRDefault="007D3FA1" w:rsidP="006F2748">
      <w:pPr>
        <w:numPr>
          <w:ilvl w:val="0"/>
          <w:numId w:val="39"/>
        </w:numPr>
      </w:pPr>
      <w:r w:rsidRPr="00D40DC4">
        <w:t>N</w:t>
      </w:r>
      <w:r w:rsidR="0044503D" w:rsidRPr="00D40DC4">
        <w:t>ettó bevételt nem termelő</w:t>
      </w:r>
      <w:r w:rsidR="00D67498" w:rsidRPr="00D40DC4">
        <w:t xml:space="preserve"> műveletek esetén, illetve ha a jövőben negatív pénzáramok várhatók, </w:t>
      </w:r>
      <w:r w:rsidRPr="00D40DC4">
        <w:t>be</w:t>
      </w:r>
      <w:r w:rsidR="00D67498" w:rsidRPr="00D40DC4">
        <w:t xml:space="preserve"> kell</w:t>
      </w:r>
      <w:r w:rsidRPr="00D40DC4">
        <w:t xml:space="preserve"> mutatni</w:t>
      </w:r>
      <w:r w:rsidR="00D67498" w:rsidRPr="00D40DC4">
        <w:t xml:space="preserve">, hogyan tervezik fedezni a költségeket, és a kedvezményezettnek/üzemeltetőnek egyértelmű, hosszú távú kötelezettséget kell vállalnia arra vonatkozóan, hogy más forrásokból megfelelő finanszírozást biztosít a projekt fenntarthatóságának megőrzése érdekében; </w:t>
      </w:r>
    </w:p>
    <w:p w:rsidR="0092683B" w:rsidRPr="00D40DC4" w:rsidRDefault="0092683B" w:rsidP="006F2748">
      <w:pPr>
        <w:numPr>
          <w:ilvl w:val="1"/>
          <w:numId w:val="39"/>
        </w:numPr>
      </w:pPr>
      <w:r w:rsidRPr="00D40DC4">
        <w:t>A pénzügyi bevételnek nem számító, a működési költségek finanszírozását szolgáló források az egyéb bejövő pénzáramok között jeleníthetők meg.</w:t>
      </w:r>
    </w:p>
    <w:p w:rsidR="007740C5" w:rsidRPr="00D40DC4" w:rsidRDefault="0092683B" w:rsidP="006F2748">
      <w:pPr>
        <w:numPr>
          <w:ilvl w:val="0"/>
          <w:numId w:val="39"/>
        </w:numPr>
      </w:pPr>
      <w:r w:rsidRPr="00D40DC4">
        <w:t>A pénzügyi fenntarthatóságot külön táblázatban be kell mutatni a projektre és</w:t>
      </w:r>
      <w:r w:rsidR="007740C5" w:rsidRPr="00D40DC4">
        <w:t>/vagy</w:t>
      </w:r>
      <w:r w:rsidRPr="00D40DC4">
        <w:t xml:space="preserve"> a </w:t>
      </w:r>
      <w:r w:rsidR="00905B20" w:rsidRPr="00D40DC4">
        <w:t>különbözet</w:t>
      </w:r>
      <w:r w:rsidRPr="00D40DC4">
        <w:t xml:space="preserve">re vonatkozóan működési költségmegtakarítás vagy egyéb közvetlen hatások figyelembe vételével és anélkül is (amennyiben a normatív támogatás csökkentésre kerül a </w:t>
      </w:r>
      <w:r w:rsidRPr="00D40DC4">
        <w:lastRenderedPageBreak/>
        <w:t>működési költség megtakarítás összegével, nem szükséges figyelembe venni a működési költségmegtakarítást a pénzügyi fenntarthatóság számításához).</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641" w:name="_Ref428537284"/>
      <w:bookmarkStart w:id="642" w:name="_Toc428557415"/>
      <w:bookmarkStart w:id="643" w:name="_Toc436923962"/>
      <w:r w:rsidR="007B4938" w:rsidRPr="00D40DC4">
        <w:rPr>
          <w:noProof/>
        </w:rPr>
        <w:t>29</w:t>
      </w:r>
      <w:bookmarkEnd w:id="641"/>
      <w:r w:rsidRPr="00D40DC4">
        <w:rPr>
          <w:noProof/>
        </w:rPr>
        <w:fldChar w:fldCharType="end"/>
      </w:r>
      <w:r w:rsidRPr="00D40DC4">
        <w:rPr>
          <w:noProof/>
        </w:rPr>
        <w:t>. táblázat: A projekt pénzügyi fenntarthatóságának vizsgálat (projektes eset és/vagy különbözet, Ft)</w:t>
      </w:r>
      <w:bookmarkEnd w:id="642"/>
      <w:bookmarkEnd w:id="643"/>
    </w:p>
    <w:tbl>
      <w:tblPr>
        <w:tblW w:w="5000" w:type="pct"/>
        <w:tblLayout w:type="fixed"/>
        <w:tblCellMar>
          <w:left w:w="70" w:type="dxa"/>
          <w:right w:w="70" w:type="dxa"/>
        </w:tblCellMar>
        <w:tblLook w:val="0000" w:firstRow="0" w:lastRow="0" w:firstColumn="0" w:lastColumn="0" w:noHBand="0" w:noVBand="0"/>
      </w:tblPr>
      <w:tblGrid>
        <w:gridCol w:w="4152"/>
        <w:gridCol w:w="1567"/>
        <w:gridCol w:w="1566"/>
        <w:gridCol w:w="361"/>
        <w:gridCol w:w="1566"/>
      </w:tblGrid>
      <w:tr w:rsidR="007740C5" w:rsidRPr="00D40DC4" w:rsidTr="007740C5">
        <w:trPr>
          <w:trHeight w:val="255"/>
          <w:tblHeader/>
        </w:trPr>
        <w:tc>
          <w:tcPr>
            <w:tcW w:w="2253"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850" w:type="pct"/>
            <w:tcBorders>
              <w:top w:val="single" w:sz="4" w:space="0" w:color="auto"/>
              <w:left w:val="nil"/>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850" w:type="pct"/>
            <w:tcBorders>
              <w:top w:val="single" w:sz="4" w:space="0" w:color="auto"/>
              <w:left w:val="nil"/>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2. év</w:t>
            </w:r>
          </w:p>
        </w:tc>
        <w:tc>
          <w:tcPr>
            <w:tcW w:w="196"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850" w:type="pct"/>
            <w:tcBorders>
              <w:top w:val="single" w:sz="4" w:space="0" w:color="auto"/>
              <w:left w:val="single" w:sz="4" w:space="0" w:color="auto"/>
              <w:bottom w:val="single" w:sz="4" w:space="0" w:color="auto"/>
              <w:right w:val="single" w:sz="4" w:space="0" w:color="auto"/>
            </w:tcBorders>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Pénzügyi beruházási költség</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Pénzügyi működési költség</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Hiteltörlesztés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Hitel kamatának törlesztése</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Egyéb</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Kiadási pénzáram 1+2+3+4+5</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Pénzügyi bevétel</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Egyéb bejövő pénzáram</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EU támogatás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Nemzeti hozzájárulás (11+12)</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Központi költségvetés hozzájárulása</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Saját forrás (13+14)</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Önerő (készpénz, munkaerő hozzájárulás)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Idegen forrás (15+16)</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Hitel</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Egyéb idegen forrás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Pénzügyi maradványérték</w:t>
            </w:r>
            <w:r w:rsidRPr="00D40DC4">
              <w:rPr>
                <w:szCs w:val="20"/>
                <w:vertAlign w:val="superscript"/>
              </w:rPr>
              <w:footnoteReference w:id="14"/>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Bevételi pénzáram 7+8+9+10</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Nettó összes pénzügyi pénzáram 18-6</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7740C5">
        <w:trPr>
          <w:trHeight w:val="255"/>
        </w:trPr>
        <w:tc>
          <w:tcPr>
            <w:tcW w:w="2253"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5"/>
              </w:numPr>
            </w:pPr>
            <w:r w:rsidRPr="00D40DC4">
              <w:t>Nettó halmozott pénzügyi pénzáram</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971400"/>
    <w:p w:rsidR="007740C5" w:rsidRPr="00D40DC4" w:rsidRDefault="007740C5" w:rsidP="00971400">
      <w:r w:rsidRPr="00D40DC4">
        <w:t>Ha a projektek már meglévő infrastruktúrához kapcsolódnak (pl. kapacitásbővítési projektek), a rendszerüzemeltető teljes pénzügyi fenntarthatóságát (tehát nem csupán az adott kiterjesztett szegmens kapacitását) felül kell vizsgálni a projekt megvalósítása esetén, el kell végezni a rendszerüzemeltetőre vonatkozó fenntarthatósági elemzést és annak eredményeit a kockázatelemzés során figyelembe kell venni.</w:t>
      </w:r>
    </w:p>
    <w:p w:rsidR="007740C5" w:rsidRPr="00D40DC4" w:rsidRDefault="007740C5" w:rsidP="00971400">
      <w:r w:rsidRPr="00D40DC4">
        <w:t xml:space="preserve">Adott esetben az üzemeltető szemszögéből végzett elemzést többféleképp is el lehet végezni módszertanilag helyesen. Ez akkor fordul elő, ha az üzemeltető egy nagyobb szervezet kisebb részegysége (pl. egy </w:t>
      </w:r>
      <w:r w:rsidR="004F5AA9" w:rsidRPr="00D40DC4">
        <w:t>busz</w:t>
      </w:r>
      <w:r w:rsidRPr="00D40DC4">
        <w:t xml:space="preserve">fejlesztés esetén az üzemeltető lehet a szervezetileg elkülönülten működő villamos </w:t>
      </w:r>
      <w:r w:rsidR="004F5AA9" w:rsidRPr="00D40DC4">
        <w:t>üzletág,</w:t>
      </w:r>
      <w:r w:rsidRPr="00D40DC4">
        <w:t xml:space="preserve"> de a teljes vállalat is)</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644" w:name="_Ref428537289"/>
      <w:bookmarkStart w:id="645" w:name="_Toc428557416"/>
      <w:bookmarkStart w:id="646" w:name="_Toc436923963"/>
      <w:r w:rsidR="007B4938" w:rsidRPr="00D40DC4">
        <w:rPr>
          <w:noProof/>
        </w:rPr>
        <w:t>30</w:t>
      </w:r>
      <w:bookmarkEnd w:id="644"/>
      <w:r w:rsidRPr="00D40DC4">
        <w:rPr>
          <w:noProof/>
        </w:rPr>
        <w:fldChar w:fldCharType="end"/>
      </w:r>
      <w:r w:rsidRPr="00D40DC4">
        <w:rPr>
          <w:noProof/>
        </w:rPr>
        <w:t>. táblázat: Az üzemeltető pénzügyi fenntarthatóságának vizsgálat (projektes eset, Ft)</w:t>
      </w:r>
      <w:bookmarkEnd w:id="645"/>
      <w:bookmarkEnd w:id="646"/>
    </w:p>
    <w:tbl>
      <w:tblPr>
        <w:tblW w:w="5000" w:type="pct"/>
        <w:tblLayout w:type="fixed"/>
        <w:tblCellMar>
          <w:left w:w="70" w:type="dxa"/>
          <w:right w:w="70" w:type="dxa"/>
        </w:tblCellMar>
        <w:tblLook w:val="0000" w:firstRow="0" w:lastRow="0" w:firstColumn="0" w:lastColumn="0" w:noHBand="0" w:noVBand="0"/>
      </w:tblPr>
      <w:tblGrid>
        <w:gridCol w:w="4153"/>
        <w:gridCol w:w="1566"/>
        <w:gridCol w:w="1566"/>
        <w:gridCol w:w="361"/>
        <w:gridCol w:w="1566"/>
      </w:tblGrid>
      <w:tr w:rsidR="007740C5" w:rsidRPr="00D40DC4" w:rsidTr="00EE10BE">
        <w:trPr>
          <w:trHeight w:val="255"/>
          <w:tblHeader/>
        </w:trPr>
        <w:tc>
          <w:tcPr>
            <w:tcW w:w="2254"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850" w:type="pct"/>
            <w:tcBorders>
              <w:top w:val="single" w:sz="4" w:space="0" w:color="auto"/>
              <w:left w:val="nil"/>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850" w:type="pct"/>
            <w:tcBorders>
              <w:top w:val="single" w:sz="4" w:space="0" w:color="auto"/>
              <w:left w:val="nil"/>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2. év</w:t>
            </w:r>
          </w:p>
        </w:tc>
        <w:tc>
          <w:tcPr>
            <w:tcW w:w="196"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850" w:type="pct"/>
            <w:tcBorders>
              <w:top w:val="single" w:sz="4" w:space="0" w:color="auto"/>
              <w:left w:val="single" w:sz="4" w:space="0" w:color="auto"/>
              <w:bottom w:val="single" w:sz="4" w:space="0" w:color="auto"/>
              <w:right w:val="single" w:sz="4" w:space="0" w:color="auto"/>
            </w:tcBorders>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Pénzügyi beruházási költség</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Pénzügyi működési költség</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lastRenderedPageBreak/>
              <w:t>Hiteltörlesztés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Hitel kamatának törlesztése</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Egyéb</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Kiadási pénzáram 1+2+3+4+5</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Pénzügyi bevétel</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Egyéb bejövő pénzáram</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EU támogatás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Nemzeti hozzájárulás (11+12)</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Központi költségvetés hozzájárulása</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Saját forrás (13+14)</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Önerő (készpénz, munkaerő hozzájárulás)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Idegen forrás (15+16)</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Hitel</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Egyéb idegen forrás</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Pénzügyi maradványérték</w:t>
            </w:r>
            <w:r w:rsidRPr="00D40DC4">
              <w:rPr>
                <w:szCs w:val="20"/>
                <w:vertAlign w:val="superscript"/>
              </w:rPr>
              <w:footnoteReference w:id="15"/>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Bevételi pénzáram 7+8+9+10</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Nettó összes pénzügyi pénzáram 18-6</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1"/>
              </w:numPr>
            </w:pPr>
            <w:r w:rsidRPr="00D40DC4">
              <w:t>Nettó halmozott pénzügyi pénzáram</w:t>
            </w:r>
          </w:p>
        </w:tc>
        <w:tc>
          <w:tcPr>
            <w:tcW w:w="850" w:type="pct"/>
            <w:tcBorders>
              <w:top w:val="nil"/>
              <w:left w:val="nil"/>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rsidR="007740C5" w:rsidRPr="00D40DC4" w:rsidRDefault="007740C5" w:rsidP="00EE10BE">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r>
    </w:tbl>
    <w:p w:rsidR="00322396" w:rsidRPr="00D40DC4" w:rsidRDefault="00322396" w:rsidP="00DD7E6C">
      <w:pPr>
        <w:pStyle w:val="Cmsor3"/>
      </w:pPr>
      <w:bookmarkStart w:id="647" w:name="_Toc154282146"/>
      <w:bookmarkStart w:id="648" w:name="_Toc161562595"/>
      <w:bookmarkStart w:id="649" w:name="_Toc177825064"/>
      <w:bookmarkStart w:id="650" w:name="_Toc241657539"/>
      <w:bookmarkStart w:id="651" w:name="_Toc228260761"/>
      <w:bookmarkStart w:id="652" w:name="_Ref428258404"/>
      <w:bookmarkStart w:id="653" w:name="_Toc436923910"/>
      <w:r w:rsidRPr="00D40DC4">
        <w:t>A beruházás finanszírozása</w:t>
      </w:r>
      <w:bookmarkEnd w:id="647"/>
      <w:bookmarkEnd w:id="648"/>
      <w:bookmarkEnd w:id="649"/>
      <w:bookmarkEnd w:id="650"/>
      <w:bookmarkEnd w:id="651"/>
      <w:bookmarkEnd w:id="652"/>
      <w:bookmarkEnd w:id="653"/>
      <w:r w:rsidRPr="00D40DC4">
        <w:t xml:space="preserve"> </w:t>
      </w:r>
    </w:p>
    <w:p w:rsidR="00322396" w:rsidRPr="00D40DC4" w:rsidRDefault="00322396" w:rsidP="00221929">
      <w:pPr>
        <w:rPr>
          <w:rFonts w:cs="Arial"/>
        </w:rPr>
      </w:pPr>
      <w:r w:rsidRPr="00D40DC4">
        <w:rPr>
          <w:rFonts w:cs="Arial"/>
        </w:rPr>
        <w:t>A finanszírozási hiány számításával meghatározható, hogy mekkora lesz a Kohéziós Alap hozzájárulása a beruházás finanszírozásához. A fennmaradó rész finanszírozása nemzeti hozzájárulásból történik, amelynek forrása többféle lehet:</w:t>
      </w:r>
    </w:p>
    <w:p w:rsidR="00322396" w:rsidRPr="00D40DC4" w:rsidRDefault="00322396" w:rsidP="006C5A6D">
      <w:pPr>
        <w:numPr>
          <w:ilvl w:val="0"/>
          <w:numId w:val="16"/>
        </w:numPr>
      </w:pPr>
      <w:r w:rsidRPr="00D40DC4">
        <w:t>Hazai központi költségvetési támogatás</w:t>
      </w:r>
      <w:r w:rsidRPr="00D40DC4">
        <w:rPr>
          <w:vertAlign w:val="superscript"/>
        </w:rPr>
        <w:footnoteReference w:id="16"/>
      </w:r>
    </w:p>
    <w:p w:rsidR="00322396" w:rsidRPr="00D40DC4" w:rsidRDefault="00322396" w:rsidP="006C5A6D">
      <w:pPr>
        <w:numPr>
          <w:ilvl w:val="0"/>
          <w:numId w:val="16"/>
        </w:numPr>
      </w:pPr>
      <w:r w:rsidRPr="00D40DC4">
        <w:t>Saját forrás: Kedvezményezett saját pénzügyi hozzájárulása</w:t>
      </w:r>
    </w:p>
    <w:p w:rsidR="00322396" w:rsidRPr="00D40DC4" w:rsidRDefault="00322396" w:rsidP="006C5A6D">
      <w:pPr>
        <w:numPr>
          <w:ilvl w:val="1"/>
          <w:numId w:val="16"/>
        </w:numPr>
      </w:pPr>
      <w:r w:rsidRPr="00D40DC4">
        <w:t>Önerő</w:t>
      </w:r>
    </w:p>
    <w:p w:rsidR="00322396" w:rsidRPr="00D40DC4" w:rsidRDefault="00322396" w:rsidP="006C5A6D">
      <w:pPr>
        <w:numPr>
          <w:ilvl w:val="1"/>
          <w:numId w:val="16"/>
        </w:numPr>
      </w:pPr>
      <w:r w:rsidRPr="00D40DC4">
        <w:t>Idegen forrás</w:t>
      </w:r>
    </w:p>
    <w:p w:rsidR="00322396" w:rsidRPr="00D40DC4" w:rsidRDefault="00322396" w:rsidP="006C5A6D">
      <w:pPr>
        <w:numPr>
          <w:ilvl w:val="2"/>
          <w:numId w:val="16"/>
        </w:numPr>
      </w:pPr>
      <w:r w:rsidRPr="00D40DC4">
        <w:t>Hitel</w:t>
      </w:r>
    </w:p>
    <w:p w:rsidR="00322396" w:rsidRPr="00D40DC4" w:rsidRDefault="00322396" w:rsidP="006C5A6D">
      <w:pPr>
        <w:numPr>
          <w:ilvl w:val="2"/>
          <w:numId w:val="16"/>
        </w:numPr>
      </w:pPr>
      <w:r w:rsidRPr="00D40DC4">
        <w:t>Egyéb</w:t>
      </w:r>
    </w:p>
    <w:p w:rsidR="00322396" w:rsidRPr="00D40DC4" w:rsidRDefault="00322396" w:rsidP="00221929">
      <w:pPr>
        <w:rPr>
          <w:rFonts w:cs="Arial"/>
        </w:rPr>
      </w:pPr>
      <w:r w:rsidRPr="00D40DC4">
        <w:rPr>
          <w:rFonts w:cs="Arial"/>
        </w:rPr>
        <w:t>A projekt hitellel történő finanszírozása hatással lehet a finanszírozási hiány mértékére, ha a pénzügyi fenntarthatóság érdekében a díjakat magasabbra kell emelni, ahhoz az esethez képest, amikor a saját forrás finanszírozá</w:t>
      </w:r>
      <w:r w:rsidR="009F118C" w:rsidRPr="00D40DC4">
        <w:rPr>
          <w:rFonts w:cs="Arial"/>
        </w:rPr>
        <w:t>sa teljes mértékben</w:t>
      </w:r>
      <w:r w:rsidRPr="00D40DC4">
        <w:rPr>
          <w:rFonts w:cs="Arial"/>
        </w:rPr>
        <w:t xml:space="preserve"> önerővel történik. </w:t>
      </w:r>
    </w:p>
    <w:p w:rsidR="00322396" w:rsidRPr="00D40DC4" w:rsidRDefault="009F118C" w:rsidP="00221929">
      <w:pPr>
        <w:rPr>
          <w:rFonts w:cs="Arial"/>
        </w:rPr>
      </w:pPr>
      <w:r w:rsidRPr="00D40DC4">
        <w:rPr>
          <w:rFonts w:cs="Arial"/>
        </w:rPr>
        <w:t>Kiindulásként, ha</w:t>
      </w:r>
      <w:r w:rsidR="00322396" w:rsidRPr="00D40DC4">
        <w:rPr>
          <w:rFonts w:cs="Arial"/>
        </w:rPr>
        <w:t xml:space="preserve"> a projekt pénzügyi fenntarthatósága hiteltörlesztés nélkül –</w:t>
      </w:r>
      <w:r w:rsidR="008A2F95" w:rsidRPr="00D40DC4">
        <w:rPr>
          <w:rFonts w:cs="Arial"/>
        </w:rPr>
        <w:t xml:space="preserve"> </w:t>
      </w:r>
      <w:r w:rsidR="00322396" w:rsidRPr="00D40DC4">
        <w:rPr>
          <w:rFonts w:cs="Arial"/>
        </w:rPr>
        <w:t xml:space="preserve">adott díjstruktúra mellett </w:t>
      </w:r>
      <w:r w:rsidR="00322396" w:rsidRPr="00D40DC4" w:rsidDel="0075770B">
        <w:rPr>
          <w:rFonts w:cs="Arial"/>
        </w:rPr>
        <w:t>-</w:t>
      </w:r>
      <w:r w:rsidR="00322396" w:rsidRPr="00D40DC4">
        <w:rPr>
          <w:rFonts w:cs="Arial"/>
        </w:rPr>
        <w:t xml:space="preserve">– biztosított, a projekt </w:t>
      </w:r>
      <w:r w:rsidR="008A2F95" w:rsidRPr="00D40DC4">
        <w:rPr>
          <w:rFonts w:cs="Arial"/>
        </w:rPr>
        <w:t xml:space="preserve">halmozott </w:t>
      </w:r>
      <w:r w:rsidR="00322396" w:rsidRPr="00D40DC4">
        <w:rPr>
          <w:rFonts w:cs="Arial"/>
        </w:rPr>
        <w:t>pénzárama minden évben pozitív.</w:t>
      </w:r>
    </w:p>
    <w:p w:rsidR="00322396" w:rsidRPr="00D40DC4" w:rsidRDefault="00322396" w:rsidP="00221929">
      <w:pPr>
        <w:rPr>
          <w:rFonts w:cs="Arial"/>
        </w:rPr>
      </w:pPr>
      <w:r w:rsidRPr="00D40DC4">
        <w:rPr>
          <w:rFonts w:cs="Arial"/>
        </w:rPr>
        <w:lastRenderedPageBreak/>
        <w:t xml:space="preserve">A kamatfizetés és a hiteltörlesztés – ugyanezen díjstruktúra esetén – esetleg már egyes években negatív </w:t>
      </w:r>
      <w:r w:rsidR="008A2F95" w:rsidRPr="00D40DC4">
        <w:rPr>
          <w:rFonts w:cs="Arial"/>
        </w:rPr>
        <w:t>pénzáramot</w:t>
      </w:r>
      <w:r w:rsidRPr="00D40DC4">
        <w:rPr>
          <w:rFonts w:cs="Arial"/>
        </w:rPr>
        <w:t xml:space="preserve"> eredményezne, amit meg kell vizsgálni, hogy rövid lejáratú hitellel kezelni lehet-e vagy az elvárt megtérülést a hitel miatt növelni kell és esetleg a díjakat is emelni kell. </w:t>
      </w:r>
    </w:p>
    <w:p w:rsidR="00322396" w:rsidRPr="00D40DC4" w:rsidRDefault="00322396" w:rsidP="00DD7E6C">
      <w:pPr>
        <w:pStyle w:val="Cmsor1"/>
      </w:pPr>
      <w:bookmarkStart w:id="654" w:name="_Toc170700436"/>
      <w:bookmarkStart w:id="655" w:name="_Toc170705943"/>
      <w:bookmarkStart w:id="656" w:name="_Toc170707347"/>
      <w:bookmarkStart w:id="657" w:name="_Toc168220472"/>
      <w:bookmarkStart w:id="658" w:name="_Toc168297803"/>
      <w:bookmarkStart w:id="659" w:name="_Toc170536555"/>
      <w:bookmarkStart w:id="660" w:name="_Toc170570423"/>
      <w:bookmarkStart w:id="661" w:name="_Toc170580453"/>
      <w:bookmarkStart w:id="662" w:name="_Toc170595681"/>
      <w:bookmarkStart w:id="663" w:name="_Toc170596936"/>
      <w:bookmarkStart w:id="664" w:name="_Toc428430802"/>
      <w:bookmarkStart w:id="665" w:name="_Toc428431766"/>
      <w:bookmarkStart w:id="666" w:name="_Toc428636348"/>
      <w:bookmarkStart w:id="667" w:name="_Toc428771925"/>
      <w:bookmarkStart w:id="668" w:name="_Toc223751390"/>
      <w:bookmarkStart w:id="669" w:name="_Toc223751873"/>
      <w:bookmarkStart w:id="670" w:name="_Toc223856927"/>
      <w:bookmarkStart w:id="671" w:name="_Toc223877287"/>
      <w:bookmarkStart w:id="672" w:name="_Toc428430806"/>
      <w:bookmarkStart w:id="673" w:name="_Toc428431770"/>
      <w:bookmarkStart w:id="674" w:name="_Toc428636352"/>
      <w:bookmarkStart w:id="675" w:name="_Toc428771929"/>
      <w:bookmarkStart w:id="676" w:name="_Toc170700441"/>
      <w:bookmarkStart w:id="677" w:name="_Toc170705948"/>
      <w:bookmarkStart w:id="678" w:name="_Toc170707352"/>
      <w:bookmarkStart w:id="679" w:name="_Toc170700442"/>
      <w:bookmarkStart w:id="680" w:name="_Toc170705949"/>
      <w:bookmarkStart w:id="681" w:name="_Toc170707353"/>
      <w:bookmarkStart w:id="682" w:name="_Toc170700443"/>
      <w:bookmarkStart w:id="683" w:name="_Toc170705950"/>
      <w:bookmarkStart w:id="684" w:name="_Toc170707354"/>
      <w:bookmarkStart w:id="685" w:name="_Toc170700515"/>
      <w:bookmarkStart w:id="686" w:name="_Toc170706022"/>
      <w:bookmarkStart w:id="687" w:name="_Toc170707426"/>
      <w:bookmarkStart w:id="688" w:name="_Toc170700516"/>
      <w:bookmarkStart w:id="689" w:name="_Toc170706023"/>
      <w:bookmarkStart w:id="690" w:name="_Toc170707427"/>
      <w:bookmarkStart w:id="691" w:name="_Toc177825067"/>
      <w:bookmarkStart w:id="692" w:name="_Toc241657542"/>
      <w:bookmarkStart w:id="693" w:name="_Toc228260764"/>
      <w:bookmarkStart w:id="694" w:name="_Toc436923911"/>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D40DC4">
        <w:lastRenderedPageBreak/>
        <w:t>Közgazdasági költség-haszon elemzés</w:t>
      </w:r>
      <w:bookmarkEnd w:id="691"/>
      <w:bookmarkEnd w:id="692"/>
      <w:bookmarkEnd w:id="693"/>
      <w:bookmarkEnd w:id="694"/>
    </w:p>
    <w:p w:rsidR="0053246B" w:rsidRPr="00D40DC4" w:rsidRDefault="0053246B" w:rsidP="0053246B">
      <w:pPr>
        <w:pStyle w:val="Cmsor7"/>
      </w:pPr>
      <w:r w:rsidRPr="00D40DC4">
        <w:t xml:space="preserve">Egyszerűsítés a közgazdasági </w:t>
      </w:r>
      <w:r w:rsidRPr="00D40DC4">
        <w:rPr>
          <w:rFonts w:cs="Arial"/>
        </w:rPr>
        <w:t>költség-haszon elemzés</w:t>
      </w:r>
      <w:r w:rsidRPr="00D40DC4">
        <w:t xml:space="preserve"> elvégzésében</w:t>
      </w:r>
    </w:p>
    <w:p w:rsidR="000C12AC" w:rsidRPr="00D40DC4" w:rsidRDefault="000C12AC" w:rsidP="000C12AC">
      <w:r w:rsidRPr="00D40DC4">
        <w:t>Bizonyos projektek esetében nincs szükség a projekt szintű közgazdasági költség-haszon elemzés elvégzésére és a projektek támogathatósága sem a</w:t>
      </w:r>
      <w:r w:rsidR="004F5AA9" w:rsidRPr="00D40DC4">
        <w:t xml:space="preserve"> projekt szintű</w:t>
      </w:r>
      <w:r w:rsidRPr="00D40DC4">
        <w:t xml:space="preserve"> részletes vizsgálat alapján kerül megítélésre. </w:t>
      </w:r>
      <w:r w:rsidRPr="00D40DC4">
        <w:rPr>
          <w:b/>
        </w:rPr>
        <w:t>Erre akkor van lehetőség, ha a támogatási célkitűzés szintjén tagállami ún. támogatási stratégia készül</w:t>
      </w:r>
      <w:r w:rsidRPr="00D40DC4">
        <w:t xml:space="preserve">, mely országos szinten, vagy az országos szintből területi szintre vetítve tartalmazza az elvárt eredményeket és a megvalósítás elvárt feltételeit. </w:t>
      </w:r>
      <w:r w:rsidRPr="00D40DC4">
        <w:rPr>
          <w:b/>
        </w:rPr>
        <w:t>A társadalmi hasznosság vizsgálata ilyen esetben stratégiai szinten történik.</w:t>
      </w:r>
    </w:p>
    <w:p w:rsidR="000C12AC" w:rsidRPr="00D40DC4" w:rsidRDefault="000C12AC" w:rsidP="000C12AC">
      <w:r w:rsidRPr="00D40DC4">
        <w:t>A támogatási stratégia meghatározza a célkitűzés elvárt eredményeit országos szinten és megvizsgálja, hogy azokat milyen beavatkozás típusokkal lehet elérni. A különböző lehetőségekre stratégiai szintű költség-haszon elemzést készül, melyből megállapítható az egyes beavatkozás típusok költsége, társadalmi haszna és a célkitűzéshez való hozzájárulás mértéke. Ezek közül a stratégia ajánlást fogalmaz meg, hogy az adott célkitűzést milyen beavatkozással javasolt elérni (esetenként területi szinten, projektméretenként differenciáltan).</w:t>
      </w:r>
    </w:p>
    <w:p w:rsidR="000C12AC" w:rsidRPr="00D40DC4" w:rsidRDefault="000C12AC" w:rsidP="000C12AC">
      <w:r w:rsidRPr="00D40DC4">
        <w:t>Projektszinten szükséges annak igazolása, hogy az adott beavatkozás teljesíti a támogatási stratégiában projektre bontott meghatározott eredményességi cél minimumát és azt olyan költségszinten teszi, ami a stratégia megfogalmazása szerint hatékony.</w:t>
      </w:r>
    </w:p>
    <w:p w:rsidR="000C12AC" w:rsidRPr="00D40DC4" w:rsidRDefault="000C12AC" w:rsidP="000C12AC">
      <w:r w:rsidRPr="00D40DC4">
        <w:t>A támogathatóság megítéléséhez projektszinten kell bemutatni és igazolni a stratégia által meghatározott eredményességi mutató értékét illetve a projekt beruházási és működési költségeit, valamint annak hatékonyságát.</w:t>
      </w:r>
    </w:p>
    <w:p w:rsidR="000C12AC" w:rsidRPr="00D40DC4" w:rsidRDefault="000C12AC" w:rsidP="00971400">
      <w:r w:rsidRPr="00D40DC4">
        <w:t>A támogatási stratégia biztosítja, hogy az adott költséggel és adott beavatkozási tartalommal megvalósított projektek összessége társadalmilag megtérülő, ehhez szükséges a projektekre vonatkozó eredményességi-, és költségkritériumokat meghatározni. Ezek alapján a projektekre vonatkozó társadalmi hasznosság vizsgálata már nem szükséges. A támogatási összeg meghatározása ilyen esetben is az általános támogatási szabályok közül a projektre vonatkozó szabályok alapján történik.</w:t>
      </w:r>
    </w:p>
    <w:p w:rsidR="00322396" w:rsidRPr="00D40DC4" w:rsidRDefault="00322396" w:rsidP="00DD7E6C">
      <w:pPr>
        <w:pStyle w:val="Cmsor2"/>
      </w:pPr>
      <w:bookmarkStart w:id="695" w:name="_Toc428430957"/>
      <w:bookmarkStart w:id="696" w:name="_Toc428431921"/>
      <w:bookmarkStart w:id="697" w:name="_Toc428636503"/>
      <w:bookmarkStart w:id="698" w:name="_Toc428772080"/>
      <w:bookmarkStart w:id="699" w:name="_Toc161562601"/>
      <w:bookmarkStart w:id="700" w:name="_Toc177825069"/>
      <w:bookmarkStart w:id="701" w:name="_Toc241657544"/>
      <w:bookmarkStart w:id="702" w:name="_Toc228260766"/>
      <w:bookmarkStart w:id="703" w:name="_Ref428258491"/>
      <w:bookmarkStart w:id="704" w:name="_Toc436923912"/>
      <w:bookmarkEnd w:id="695"/>
      <w:bookmarkEnd w:id="696"/>
      <w:bookmarkEnd w:id="697"/>
      <w:bookmarkEnd w:id="698"/>
      <w:r w:rsidRPr="00D40DC4">
        <w:t>A projekt közgazdasági költségeinek becslése</w:t>
      </w:r>
      <w:bookmarkEnd w:id="699"/>
      <w:bookmarkEnd w:id="700"/>
      <w:bookmarkEnd w:id="701"/>
      <w:bookmarkEnd w:id="702"/>
      <w:bookmarkEnd w:id="703"/>
      <w:bookmarkEnd w:id="704"/>
    </w:p>
    <w:p w:rsidR="00322396" w:rsidRPr="00D40DC4" w:rsidRDefault="00322396" w:rsidP="00221929">
      <w:pPr>
        <w:rPr>
          <w:rFonts w:cs="Arial"/>
        </w:rPr>
      </w:pPr>
      <w:r w:rsidRPr="00D40DC4">
        <w:rPr>
          <w:rFonts w:cs="Arial"/>
        </w:rPr>
        <w:t>A pénzügyi költségeket ki kell igazítani a következő vonatkozásokban:</w:t>
      </w:r>
    </w:p>
    <w:p w:rsidR="00322396" w:rsidRPr="00D40DC4" w:rsidRDefault="00322396" w:rsidP="006C5A6D">
      <w:pPr>
        <w:numPr>
          <w:ilvl w:val="0"/>
          <w:numId w:val="24"/>
        </w:numPr>
      </w:pPr>
      <w:r w:rsidRPr="00D40DC4">
        <w:t>költségvetési (fiskális) kiigazítások,</w:t>
      </w:r>
    </w:p>
    <w:p w:rsidR="00322396" w:rsidRPr="00D40DC4" w:rsidRDefault="00322396" w:rsidP="006C5A6D">
      <w:pPr>
        <w:numPr>
          <w:ilvl w:val="0"/>
          <w:numId w:val="24"/>
        </w:numPr>
      </w:pPr>
      <w:r w:rsidRPr="00D40DC4">
        <w:t>piaci árról való áttérés elszámoló árra,</w:t>
      </w:r>
    </w:p>
    <w:p w:rsidR="00322396" w:rsidRPr="00D40DC4" w:rsidRDefault="00322396" w:rsidP="006C5A6D">
      <w:pPr>
        <w:numPr>
          <w:ilvl w:val="0"/>
          <w:numId w:val="24"/>
        </w:numPr>
      </w:pPr>
      <w:r w:rsidRPr="00D40DC4">
        <w:t xml:space="preserve">externális hatások. </w:t>
      </w:r>
    </w:p>
    <w:p w:rsidR="00322396" w:rsidRPr="00D40DC4" w:rsidRDefault="00322396" w:rsidP="00221929">
      <w:pPr>
        <w:rPr>
          <w:rFonts w:cs="Arial"/>
        </w:rPr>
      </w:pPr>
      <w:r w:rsidRPr="00D40DC4">
        <w:rPr>
          <w:rFonts w:cs="Arial"/>
        </w:rPr>
        <w:t>A kiigazítások közül a költségvetési (fiskális) kiigazításokat és a piaci árról való áttérést elszámoló árra a költségek becslésénél, a következő pontok szerint kell elvégezni. Az externális hatásokkal történő kiigazítást a hasznok becslésénél kell elvégezni.</w:t>
      </w:r>
    </w:p>
    <w:p w:rsidR="00322396" w:rsidRPr="00D40DC4" w:rsidRDefault="00322396" w:rsidP="00DD7E6C">
      <w:pPr>
        <w:pStyle w:val="Cmsor3"/>
      </w:pPr>
      <w:bookmarkStart w:id="705" w:name="_Toc161562602"/>
      <w:bookmarkStart w:id="706" w:name="_Toc177825070"/>
      <w:bookmarkStart w:id="707" w:name="_Toc241657545"/>
      <w:bookmarkStart w:id="708" w:name="_Toc228260767"/>
      <w:bookmarkStart w:id="709" w:name="_Toc436923913"/>
      <w:r w:rsidRPr="00D40DC4">
        <w:t>Költségvetési (fiskális) kiigazítások</w:t>
      </w:r>
      <w:bookmarkEnd w:id="705"/>
      <w:bookmarkEnd w:id="706"/>
      <w:bookmarkEnd w:id="707"/>
      <w:bookmarkEnd w:id="708"/>
      <w:bookmarkEnd w:id="709"/>
    </w:p>
    <w:p w:rsidR="003C2BB4" w:rsidRPr="00D40DC4" w:rsidRDefault="00322396" w:rsidP="00221929">
      <w:pPr>
        <w:rPr>
          <w:rFonts w:cs="Arial"/>
        </w:rPr>
      </w:pPr>
      <w:r w:rsidRPr="00D40DC4">
        <w:rPr>
          <w:rFonts w:cs="Arial"/>
        </w:rPr>
        <w:t>A közgazdasági elemzés a pénzügyi költségbecslésből indul ki</w:t>
      </w:r>
      <w:r w:rsidR="003C2BB4" w:rsidRPr="00D40DC4">
        <w:rPr>
          <w:rFonts w:cs="Arial"/>
        </w:rPr>
        <w:t xml:space="preserve">. A pénzügyi beruházási és működési költségek becslésére vonatkozó útmutatásokat az </w:t>
      </w:r>
      <w:r w:rsidR="003C2BB4" w:rsidRPr="00D40DC4">
        <w:rPr>
          <w:rFonts w:cs="Arial"/>
        </w:rPr>
        <w:fldChar w:fldCharType="begin"/>
      </w:r>
      <w:r w:rsidR="003C2BB4" w:rsidRPr="00D40DC4">
        <w:rPr>
          <w:rFonts w:cs="Arial"/>
        </w:rPr>
        <w:instrText xml:space="preserve"> REF _Ref428373493 \r \h </w:instrText>
      </w:r>
      <w:r w:rsidR="00D40DC4">
        <w:rPr>
          <w:rFonts w:cs="Arial"/>
        </w:rPr>
        <w:instrText xml:space="preserve"> \* MERGEFORMAT </w:instrText>
      </w:r>
      <w:r w:rsidR="003C2BB4" w:rsidRPr="00D40DC4">
        <w:rPr>
          <w:rFonts w:cs="Arial"/>
        </w:rPr>
      </w:r>
      <w:r w:rsidR="003C2BB4" w:rsidRPr="00D40DC4">
        <w:rPr>
          <w:rFonts w:cs="Arial"/>
        </w:rPr>
        <w:fldChar w:fldCharType="separate"/>
      </w:r>
      <w:r w:rsidR="007B4938" w:rsidRPr="00D40DC4">
        <w:rPr>
          <w:rFonts w:cs="Arial"/>
        </w:rPr>
        <w:t>4.2</w:t>
      </w:r>
      <w:r w:rsidR="003C2BB4" w:rsidRPr="00D40DC4">
        <w:rPr>
          <w:rFonts w:cs="Arial"/>
        </w:rPr>
        <w:fldChar w:fldCharType="end"/>
      </w:r>
      <w:r w:rsidR="003C2BB4" w:rsidRPr="00D40DC4">
        <w:rPr>
          <w:rFonts w:cs="Arial"/>
        </w:rPr>
        <w:t>. fejezet tartalmazza.</w:t>
      </w:r>
    </w:p>
    <w:p w:rsidR="00322396" w:rsidRPr="00D40DC4" w:rsidRDefault="003C2BB4" w:rsidP="00221929">
      <w:pPr>
        <w:rPr>
          <w:rFonts w:cs="Arial"/>
        </w:rPr>
      </w:pPr>
      <w:r w:rsidRPr="00D40DC4">
        <w:rPr>
          <w:rFonts w:cs="Arial"/>
        </w:rPr>
        <w:t>A</w:t>
      </w:r>
      <w:r w:rsidR="00322396" w:rsidRPr="00D40DC4">
        <w:rPr>
          <w:rFonts w:cs="Arial"/>
        </w:rPr>
        <w:t xml:space="preserve"> pénzügyi elemzésben szereplő </w:t>
      </w:r>
      <w:r w:rsidRPr="00D40DC4">
        <w:rPr>
          <w:rFonts w:cs="Arial"/>
        </w:rPr>
        <w:t xml:space="preserve">árak azonban </w:t>
      </w:r>
      <w:r w:rsidR="00322396" w:rsidRPr="00D40DC4">
        <w:rPr>
          <w:rFonts w:cs="Arial"/>
        </w:rPr>
        <w:t>piaci árak</w:t>
      </w:r>
      <w:r w:rsidRPr="00D40DC4">
        <w:rPr>
          <w:rFonts w:cs="Arial"/>
        </w:rPr>
        <w:t>,</w:t>
      </w:r>
      <w:r w:rsidR="00322396" w:rsidRPr="00D40DC4">
        <w:rPr>
          <w:rFonts w:cs="Arial"/>
        </w:rPr>
        <w:t xml:space="preserve"> magukba foglalhatnak adókat és támogatásokat, amelyek befolyásolják a viszonylagos árakat. E torzítások kiküszöbölése érdekében </w:t>
      </w:r>
      <w:r w:rsidR="00322396" w:rsidRPr="00D40DC4">
        <w:rPr>
          <w:rFonts w:cs="Arial"/>
        </w:rPr>
        <w:lastRenderedPageBreak/>
        <w:t xml:space="preserve">általános szabály, hogy a közgazdasági elemzés közvetett adókat nem tartalmazhat. Közvetlen (egyenes) adó esetén az adóalany megegyezik azzal a személlyel, akit gazdasági értelemben az adó terhel. Ilyen adófajta például a </w:t>
      </w:r>
      <w:hyperlink r:id="rId26" w:tooltip="Vagyonadó" w:history="1">
        <w:r w:rsidR="00322396" w:rsidRPr="00D40DC4">
          <w:rPr>
            <w:rFonts w:cs="Arial"/>
          </w:rPr>
          <w:t>vagyonadó</w:t>
        </w:r>
      </w:hyperlink>
      <w:r w:rsidR="00322396" w:rsidRPr="00D40DC4">
        <w:rPr>
          <w:rFonts w:cs="Arial"/>
        </w:rPr>
        <w:t>. Közvetett adóról beszélünk, ha az adóalany különbözik az adóteher viselőjétől.</w:t>
      </w:r>
    </w:p>
    <w:p w:rsidR="00322396" w:rsidRPr="00D40DC4" w:rsidRDefault="00322396" w:rsidP="00221929">
      <w:pPr>
        <w:rPr>
          <w:rFonts w:cs="Arial"/>
        </w:rPr>
      </w:pPr>
      <w:r w:rsidRPr="00D40DC4">
        <w:rPr>
          <w:rFonts w:cs="Arial"/>
        </w:rPr>
        <w:t>A fenti elvek alapján a következő költségveté</w:t>
      </w:r>
      <w:r w:rsidR="006C144B" w:rsidRPr="00D40DC4">
        <w:rPr>
          <w:rFonts w:cs="Arial"/>
        </w:rPr>
        <w:t>si kiigazításokat szükséges meg</w:t>
      </w:r>
      <w:r w:rsidRPr="00D40DC4">
        <w:rPr>
          <w:rFonts w:cs="Arial"/>
        </w:rPr>
        <w:t>tenni:</w:t>
      </w:r>
    </w:p>
    <w:p w:rsidR="00322396" w:rsidRPr="00D40DC4" w:rsidRDefault="00322396" w:rsidP="00221929">
      <w:pPr>
        <w:rPr>
          <w:rFonts w:cs="Arial"/>
        </w:rPr>
      </w:pPr>
      <w:r w:rsidRPr="00D40DC4">
        <w:rPr>
          <w:rFonts w:cs="Arial"/>
        </w:rPr>
        <w:t>A költségvetési kiigazításokhoz szükséges input adatok:</w:t>
      </w:r>
    </w:p>
    <w:p w:rsidR="008A2F95" w:rsidRPr="00D40DC4" w:rsidRDefault="008A2F95" w:rsidP="006F2748">
      <w:pPr>
        <w:numPr>
          <w:ilvl w:val="0"/>
          <w:numId w:val="35"/>
        </w:numPr>
      </w:pPr>
      <w:bookmarkStart w:id="710" w:name="_Toc153991590"/>
      <w:r w:rsidRPr="00D40DC4">
        <w:t xml:space="preserve">ÁFA, </w:t>
      </w:r>
    </w:p>
    <w:p w:rsidR="00322396" w:rsidRPr="00D40DC4" w:rsidRDefault="00322396" w:rsidP="006F2748">
      <w:pPr>
        <w:numPr>
          <w:ilvl w:val="0"/>
          <w:numId w:val="35"/>
        </w:numPr>
      </w:pPr>
      <w:r w:rsidRPr="00D40DC4">
        <w:t>támogatások,</w:t>
      </w:r>
    </w:p>
    <w:p w:rsidR="00322396" w:rsidRPr="00D40DC4" w:rsidRDefault="00322396" w:rsidP="006F2748">
      <w:pPr>
        <w:numPr>
          <w:ilvl w:val="0"/>
          <w:numId w:val="35"/>
        </w:numPr>
      </w:pPr>
      <w:r w:rsidRPr="00D40DC4">
        <w:t>az egyes beruházási költségekben a fenti adók alapja, illetve alapjának részaránya,</w:t>
      </w:r>
    </w:p>
    <w:p w:rsidR="00322396" w:rsidRPr="00D40DC4" w:rsidRDefault="00322396" w:rsidP="006F2748">
      <w:pPr>
        <w:numPr>
          <w:ilvl w:val="0"/>
          <w:numId w:val="35"/>
        </w:numPr>
      </w:pPr>
      <w:r w:rsidRPr="00D40DC4">
        <w:t>az egyes működési költségekben a fenti adók alapja, illetve alapjának részaránya.</w:t>
      </w:r>
    </w:p>
    <w:p w:rsidR="00322396" w:rsidRPr="00D40DC4" w:rsidRDefault="00322396" w:rsidP="005A76C2">
      <w:pPr>
        <w:pStyle w:val="Cmsor4"/>
      </w:pPr>
      <w:r w:rsidRPr="00D40DC4">
        <w:t>ÁFA</w:t>
      </w:r>
    </w:p>
    <w:p w:rsidR="00322396" w:rsidRPr="00D40DC4" w:rsidRDefault="00322396" w:rsidP="00221929">
      <w:pPr>
        <w:rPr>
          <w:rFonts w:cs="Arial"/>
        </w:rPr>
      </w:pPr>
      <w:r w:rsidRPr="00D40DC4">
        <w:rPr>
          <w:rFonts w:cs="Arial"/>
        </w:rPr>
        <w:t>A legjelentősebb és legáltalánosabb fiskális korrekciós tényező az általános forgalmi adó. A közgazdasági elemzéshez – beleértve a változatelemzést - minden költségtétel elemből az ÁFA tartalmat le kell vonni. Ez független attól, hogy beruházási vagy működési költségről van-e szó, illetve, hogy az ÁFA visszaigényelhető-e vagy sem. Az ÁFA visszaigényelhetősége csak a pénzügyi költségek meghatározásában játszik szerepet.</w:t>
      </w:r>
    </w:p>
    <w:p w:rsidR="00322396" w:rsidRPr="00D40DC4" w:rsidRDefault="00322396" w:rsidP="00221929">
      <w:pPr>
        <w:rPr>
          <w:rFonts w:cs="Arial"/>
        </w:rPr>
      </w:pPr>
      <w:r w:rsidRPr="00D40DC4">
        <w:rPr>
          <w:rFonts w:cs="Arial"/>
        </w:rPr>
        <w:t>A közgazdasági költségek számításához mindig alaposan meg kell vizsgálni, hogy melyik pénzügyi költség tételek becsült értéke tartalmaz ÁFÁ-t, azaz hol határoztak meg bruttó értéket. Az elvégzendő módosítás lépései a következők.</w:t>
      </w:r>
    </w:p>
    <w:p w:rsidR="00322396" w:rsidRPr="00D40DC4" w:rsidRDefault="00322396" w:rsidP="006F2748">
      <w:pPr>
        <w:numPr>
          <w:ilvl w:val="0"/>
          <w:numId w:val="35"/>
        </w:numPr>
      </w:pPr>
      <w:r w:rsidRPr="00D40DC4">
        <w:t>ha a pénzügyi költségbecslés tételesen elkülöníti, akkor az elkülönítetten megjelenő ÁFA értékét le kell vonni a bruttó költségekből;</w:t>
      </w:r>
    </w:p>
    <w:p w:rsidR="00322396" w:rsidRPr="00D40DC4" w:rsidRDefault="00322396" w:rsidP="006F2748">
      <w:pPr>
        <w:numPr>
          <w:ilvl w:val="0"/>
          <w:numId w:val="35"/>
        </w:numPr>
      </w:pPr>
      <w:r w:rsidRPr="00D40DC4">
        <w:t>ha az ÁFA költségek nem elkülönítettek, akkor ÁFA kulcsonként meg kell becsülni a költségtételek között az adó alapját és a hozzátartozó ÁFA összeget, amit a bruttó költségből le kell vonni.</w:t>
      </w:r>
    </w:p>
    <w:p w:rsidR="00322396" w:rsidRPr="00D40DC4" w:rsidRDefault="00322396" w:rsidP="00221929">
      <w:pPr>
        <w:rPr>
          <w:rFonts w:cs="Arial"/>
        </w:rPr>
      </w:pPr>
      <w:r w:rsidRPr="00D40DC4">
        <w:rPr>
          <w:rFonts w:cs="Arial"/>
        </w:rPr>
        <w:t xml:space="preserve">Ha a </w:t>
      </w:r>
      <w:r w:rsidR="008A2F95" w:rsidRPr="00D40DC4">
        <w:rPr>
          <w:rFonts w:cs="Arial"/>
        </w:rPr>
        <w:t xml:space="preserve">társadalmi </w:t>
      </w:r>
      <w:r w:rsidRPr="00D40DC4">
        <w:rPr>
          <w:rFonts w:cs="Arial"/>
        </w:rPr>
        <w:t>hasznok becslésének kiinduló pontja a pénzügyi bevétel, akkor a korrekciót akkor kell megtenni, ha a fogyasztó nem ÁFA visszaigénylő. A korrekciót, ha szükséges a következőképpen kell megtenni.</w:t>
      </w:r>
    </w:p>
    <w:p w:rsidR="00322396" w:rsidRPr="00D40DC4" w:rsidRDefault="00322396" w:rsidP="006F2748">
      <w:pPr>
        <w:numPr>
          <w:ilvl w:val="0"/>
          <w:numId w:val="35"/>
        </w:numPr>
      </w:pPr>
      <w:r w:rsidRPr="00D40DC4">
        <w:t>meg kell vizsgálni, hogy a használók körében vannak-e ÁFA visszaigénylésre jogosultak;</w:t>
      </w:r>
    </w:p>
    <w:p w:rsidR="00322396" w:rsidRPr="00D40DC4" w:rsidRDefault="00322396" w:rsidP="006F2748">
      <w:pPr>
        <w:numPr>
          <w:ilvl w:val="0"/>
          <w:numId w:val="35"/>
        </w:numPr>
      </w:pPr>
      <w:r w:rsidRPr="00D40DC4">
        <w:t>az ÁFA visszaigénylő körben a bevétel ÁFÁ tartalmát is meg kell becsülni,</w:t>
      </w:r>
    </w:p>
    <w:p w:rsidR="00322396" w:rsidRPr="00D40DC4" w:rsidRDefault="00322396" w:rsidP="006F2748">
      <w:pPr>
        <w:numPr>
          <w:ilvl w:val="0"/>
          <w:numId w:val="35"/>
        </w:numPr>
      </w:pPr>
      <w:r w:rsidRPr="00D40DC4">
        <w:t>a becsült ÁFA tartalmat le kell vonni a bruttó bevételből.</w:t>
      </w:r>
    </w:p>
    <w:p w:rsidR="00322396" w:rsidRPr="00D40DC4" w:rsidRDefault="00322396" w:rsidP="005A76C2">
      <w:pPr>
        <w:pStyle w:val="Cmsor4"/>
      </w:pPr>
      <w:r w:rsidRPr="00D40DC4">
        <w:t>Támogatások</w:t>
      </w:r>
    </w:p>
    <w:p w:rsidR="00322396" w:rsidRPr="00D40DC4" w:rsidRDefault="00322396" w:rsidP="00221929">
      <w:pPr>
        <w:rPr>
          <w:rFonts w:cs="Arial"/>
        </w:rPr>
      </w:pPr>
      <w:r w:rsidRPr="00D40DC4">
        <w:rPr>
          <w:rFonts w:cs="Arial"/>
        </w:rPr>
        <w:t xml:space="preserve">A támogatások esetében, ha konkrét költségelemekre irányul a támogatás, például ingyenes területhasználat, akkor a pénzügyi költségeket ezekkel a támogatásokkal ki kell egészíteni, hogy társadalmi költségeket kapjunk. </w:t>
      </w:r>
    </w:p>
    <w:p w:rsidR="00322396" w:rsidRPr="00D40DC4" w:rsidRDefault="00322396" w:rsidP="00221929">
      <w:pPr>
        <w:rPr>
          <w:rFonts w:cs="Arial"/>
        </w:rPr>
      </w:pPr>
      <w:r w:rsidRPr="00D40DC4">
        <w:rPr>
          <w:rFonts w:cs="Arial"/>
        </w:rPr>
        <w:t xml:space="preserve">Ha a támogatás nem konkrét költségelemhez kapcsolódik (árkiegészítés, normatív támogatás stb.), a támogatást nem kell a költségoldali korrekciónál figyelembe venni. </w:t>
      </w:r>
    </w:p>
    <w:p w:rsidR="00322396" w:rsidRPr="00D40DC4" w:rsidRDefault="00322396" w:rsidP="00DD7E6C">
      <w:pPr>
        <w:pStyle w:val="Cmsor3"/>
      </w:pPr>
      <w:bookmarkStart w:id="711" w:name="_Toc223751396"/>
      <w:bookmarkStart w:id="712" w:name="_Toc223751879"/>
      <w:bookmarkStart w:id="713" w:name="_Toc223856933"/>
      <w:bookmarkStart w:id="714" w:name="_Toc223877294"/>
      <w:bookmarkStart w:id="715" w:name="_Toc159768032"/>
      <w:bookmarkStart w:id="716" w:name="_Toc159768276"/>
      <w:bookmarkStart w:id="717" w:name="_Toc161562603"/>
      <w:bookmarkStart w:id="718" w:name="_Toc177825071"/>
      <w:bookmarkStart w:id="719" w:name="_Toc241657546"/>
      <w:bookmarkStart w:id="720" w:name="_Toc228260768"/>
      <w:bookmarkStart w:id="721" w:name="_Toc436923914"/>
      <w:bookmarkEnd w:id="711"/>
      <w:bookmarkEnd w:id="712"/>
      <w:bookmarkEnd w:id="713"/>
      <w:bookmarkEnd w:id="714"/>
      <w:bookmarkEnd w:id="715"/>
      <w:bookmarkEnd w:id="716"/>
      <w:r w:rsidRPr="00D40DC4">
        <w:t>Piaci árról való áttérés elszámoló árra</w:t>
      </w:r>
      <w:bookmarkEnd w:id="710"/>
      <w:bookmarkEnd w:id="717"/>
      <w:bookmarkEnd w:id="718"/>
      <w:bookmarkEnd w:id="719"/>
      <w:bookmarkEnd w:id="720"/>
      <w:bookmarkEnd w:id="721"/>
    </w:p>
    <w:p w:rsidR="00322396" w:rsidRPr="00D40DC4" w:rsidRDefault="00322396" w:rsidP="00221929">
      <w:pPr>
        <w:rPr>
          <w:rFonts w:cs="Arial"/>
        </w:rPr>
      </w:pPr>
      <w:r w:rsidRPr="00D40DC4">
        <w:rPr>
          <w:rFonts w:cs="Arial"/>
        </w:rPr>
        <w:t>Egyes termékek, szolgáltatások esetében a piac a legkülönfélébb torzulások miatt nem képes az erőforrásokat reálisan értékelni, nem tudja kifejezni azok tényleges társadalmi költségét. Több erőforrás esetében nem beszélhetünk piacról, ilyenkor az értékelés még azt a támpontot is elveszti, amit a piaci ár jelent.</w:t>
      </w:r>
    </w:p>
    <w:p w:rsidR="00322396" w:rsidRPr="00D40DC4" w:rsidRDefault="00322396" w:rsidP="00221929">
      <w:pPr>
        <w:rPr>
          <w:rFonts w:cs="Arial"/>
        </w:rPr>
      </w:pPr>
      <w:r w:rsidRPr="00D40DC4">
        <w:rPr>
          <w:rFonts w:cs="Arial"/>
        </w:rPr>
        <w:t>A piaci kudarcok megakadályozzák az erőforrások hatékony elosztását ezért az állam beavatkozásra kényszerül. Az állam a jogrendszeren keresztül biztosíthatja az erőforrások használóinak olyan alkuját, ami társadalmilag optimális értékre mozdítja azok árát vagy megfelelő nagyságú adókkal/szubvencióval korrigálhatja az általa optimálisnak tartott szintre. De ahogy a piacok úgy az állam sem működik tökéletesen ezért az erőforrások valós értéke kisebb-nagyobb mértékben, de általában eltér piaci áruktól.</w:t>
      </w:r>
    </w:p>
    <w:p w:rsidR="00322396" w:rsidRPr="00D40DC4" w:rsidRDefault="00322396" w:rsidP="006C5A6D">
      <w:pPr>
        <w:numPr>
          <w:ilvl w:val="0"/>
          <w:numId w:val="34"/>
        </w:numPr>
      </w:pPr>
      <w:r w:rsidRPr="00D40DC4">
        <w:lastRenderedPageBreak/>
        <w:t>Tökéletesen működő munkaerőpiacon az árnyékár megegyezne a piaci árral. Az árnyékbér illetve a munkaerő árnyékárának meghatározására a gyakorlatban ritkán kerül sor</w:t>
      </w:r>
      <w:r w:rsidR="008A2F95" w:rsidRPr="00D40DC4">
        <w:t>, mivel erre vonatkozóan</w:t>
      </w:r>
      <w:r w:rsidRPr="00D40DC4">
        <w:t xml:space="preserve"> kevés elérhető </w:t>
      </w:r>
      <w:r w:rsidR="008A2F95" w:rsidRPr="00D40DC4">
        <w:t>információ</w:t>
      </w:r>
      <w:r w:rsidRPr="00D40DC4">
        <w:t>forrással rendelkezünk. A beruházások költség-haszon elemzésekor feltehetjük, hogy a munkaerőpiac nem tökéletesen, de beárazza a munkaerőt, nincs tehát kényszer az árnyékárak kiszámítására. A munkaerő esetében az ál</w:t>
      </w:r>
      <w:r w:rsidR="006C144B" w:rsidRPr="00D40DC4">
        <w:t xml:space="preserve">talunk vizsgált al-ágazatokban </w:t>
      </w:r>
      <w:r w:rsidRPr="00D40DC4">
        <w:t xml:space="preserve">a piaci árak megfelelően tükrözik a munkaerő társadalmi költségét. Fontos azonban megjegyezni, hogy ez csak akkor igaz, ha a munkaerő áraként nem országos átlagbéreket, hanem a projekt megvalósulása szerinti területi (kistérségi vagy megyei) átlagbéreket alkalmazunk a pénzügyi költségszámításhoz. </w:t>
      </w:r>
    </w:p>
    <w:p w:rsidR="00322396" w:rsidRPr="00D40DC4" w:rsidRDefault="00322396" w:rsidP="006C5A6D">
      <w:pPr>
        <w:numPr>
          <w:ilvl w:val="0"/>
          <w:numId w:val="34"/>
        </w:numPr>
      </w:pPr>
      <w:r w:rsidRPr="00D40DC4">
        <w:t>Természeti erőforrások esetén a</w:t>
      </w:r>
      <w:r w:rsidR="006C144B" w:rsidRPr="00D40DC4">
        <w:t xml:space="preserve"> piaci árak korrekciójára </w:t>
      </w:r>
      <w:r w:rsidRPr="00D40DC4">
        <w:t xml:space="preserve">szükség lehet a jövőbeni használók érdekeinek figyelmen kívül hagyása miatt. Ezt azonban nem az árnyékárak szerinti módszerrel javasoljuk megtenni, hanem a természeti erőforrásokra kivetett járulékok segítségével történő externális hatásbecsléssel. </w:t>
      </w:r>
    </w:p>
    <w:p w:rsidR="00322396" w:rsidRPr="00D40DC4" w:rsidRDefault="00322396" w:rsidP="00221929">
      <w:pPr>
        <w:rPr>
          <w:rFonts w:cs="Arial"/>
          <w:bCs/>
        </w:rPr>
      </w:pPr>
      <w:r w:rsidRPr="00D40DC4">
        <w:rPr>
          <w:rFonts w:cs="Arial"/>
        </w:rPr>
        <w:t xml:space="preserve">Természeti erőforrások esetén a piaci árak korrekciójára szükség lehet, mert a jelenlegi piac a jövőbeni használók érdekeit figyelmen kívül hagyhatja. Ezt a korrekciót azonban nem az árnyékárak szerinti módszerrel kell megtenni, hanem a természeti erőforrásokra kivetett járulékok segítségével történő externális hatásbecsléssel. Ezek a járulékok ugyanis </w:t>
      </w:r>
      <w:r w:rsidRPr="00D40DC4">
        <w:rPr>
          <w:rFonts w:cs="Arial"/>
          <w:bCs/>
        </w:rPr>
        <w:t>a természeti erőforrások árába kívánják beépíteni a jövőbeni használók érdekeit és ekként externális hatások korrekciójának tekinthetők. A fentiek alapján a fiskális korrekcióknál járulék levonásra nem került, ezért itt sem kell hozzáadni a járulékokat.</w:t>
      </w:r>
    </w:p>
    <w:p w:rsidR="00322396" w:rsidRPr="00D40DC4" w:rsidRDefault="00322396" w:rsidP="00221929">
      <w:pPr>
        <w:rPr>
          <w:rFonts w:cs="Arial"/>
        </w:rPr>
      </w:pPr>
      <w:r w:rsidRPr="00D40DC4">
        <w:rPr>
          <w:rFonts w:cs="Arial"/>
        </w:rPr>
        <w:t xml:space="preserve">A földterületek esetében a földterületeteket a haszonáldozat-költségen kell értékelni, és nem a hivatalos elszámoló áron. Amennyiben a földterületet önkormányzat, vagy </w:t>
      </w:r>
      <w:r w:rsidRPr="00D40DC4" w:rsidDel="00C251AA">
        <w:rPr>
          <w:rFonts w:cs="Arial"/>
        </w:rPr>
        <w:t>a</w:t>
      </w:r>
      <w:r w:rsidRPr="00D40DC4">
        <w:rPr>
          <w:rFonts w:cs="Arial"/>
        </w:rPr>
        <w:t>z állam biztosítja csökkentett áron, akkor a gazdasági elemzésben a földterület árát a valós piaci ár jobban közelíti, mint az aktuálisan figyelembe vett ár.</w:t>
      </w:r>
    </w:p>
    <w:p w:rsidR="00644387" w:rsidRPr="00D40DC4" w:rsidRDefault="00644387" w:rsidP="00221929">
      <w:r w:rsidRPr="00D40DC4">
        <w:t>Ha nem állnak rendelkezésre a nemzeti tervező iroda által kiadott átváltási együtthatók, illetve a piac jelentős torzulása hiányában az átváltási együtthatót az egyszerűség kedvéért célszerű 1-re beállítani.</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722" w:name="_Toc428557417"/>
      <w:bookmarkStart w:id="723" w:name="_Toc436923964"/>
      <w:r w:rsidR="007B4938" w:rsidRPr="00D40DC4">
        <w:rPr>
          <w:noProof/>
        </w:rPr>
        <w:t>31</w:t>
      </w:r>
      <w:r w:rsidRPr="00D40DC4">
        <w:rPr>
          <w:noProof/>
        </w:rPr>
        <w:fldChar w:fldCharType="end"/>
      </w:r>
      <w:r w:rsidRPr="00D40DC4">
        <w:rPr>
          <w:noProof/>
        </w:rPr>
        <w:t>. táblázat: Közgazdasági költségek (Ft, különbözet)</w:t>
      </w:r>
      <w:bookmarkEnd w:id="722"/>
      <w:bookmarkEnd w:id="7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5"/>
        <w:gridCol w:w="1390"/>
        <w:gridCol w:w="1389"/>
        <w:gridCol w:w="1389"/>
        <w:gridCol w:w="310"/>
        <w:gridCol w:w="1389"/>
      </w:tblGrid>
      <w:tr w:rsidR="007740C5" w:rsidRPr="00D40DC4" w:rsidTr="00EE10BE">
        <w:trPr>
          <w:trHeight w:val="255"/>
          <w:tblHeader/>
        </w:trPr>
        <w:tc>
          <w:tcPr>
            <w:tcW w:w="1815"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754"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EPV</w:t>
            </w:r>
          </w:p>
        </w:tc>
        <w:tc>
          <w:tcPr>
            <w:tcW w:w="754" w:type="pct"/>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754"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68"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754"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1815" w:type="pct"/>
            <w:shd w:val="clear" w:color="auto" w:fill="auto"/>
            <w:noWrap/>
          </w:tcPr>
          <w:p w:rsidR="007740C5" w:rsidRPr="00D40DC4" w:rsidRDefault="007740C5" w:rsidP="006F2748">
            <w:pPr>
              <w:numPr>
                <w:ilvl w:val="0"/>
                <w:numId w:val="66"/>
              </w:numPr>
            </w:pPr>
            <w:r w:rsidRPr="00D40DC4">
              <w:t>Beruházási költség</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tcPr>
          <w:p w:rsidR="007740C5" w:rsidRPr="00D40DC4" w:rsidRDefault="007740C5" w:rsidP="006F2748">
            <w:pPr>
              <w:numPr>
                <w:ilvl w:val="0"/>
                <w:numId w:val="66"/>
              </w:numPr>
            </w:pPr>
            <w:r w:rsidRPr="00D40DC4">
              <w:t>Működési költség</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vAlign w:val="bottom"/>
          </w:tcPr>
          <w:p w:rsidR="007740C5" w:rsidRPr="00D40DC4" w:rsidRDefault="007740C5" w:rsidP="006F2748">
            <w:pPr>
              <w:numPr>
                <w:ilvl w:val="1"/>
                <w:numId w:val="66"/>
              </w:numPr>
            </w:pPr>
            <w:r w:rsidRPr="00D40DC4">
              <w:t>Üzemeltetési költség</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vAlign w:val="bottom"/>
          </w:tcPr>
          <w:p w:rsidR="007740C5" w:rsidRPr="00D40DC4" w:rsidRDefault="007740C5" w:rsidP="006F2748">
            <w:pPr>
              <w:numPr>
                <w:ilvl w:val="1"/>
                <w:numId w:val="66"/>
              </w:numPr>
            </w:pPr>
            <w:r w:rsidRPr="00D40DC4">
              <w:t>Karbantartási költség</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vAlign w:val="bottom"/>
          </w:tcPr>
          <w:p w:rsidR="007740C5" w:rsidRPr="00D40DC4" w:rsidRDefault="007740C5" w:rsidP="006F2748">
            <w:pPr>
              <w:numPr>
                <w:ilvl w:val="1"/>
                <w:numId w:val="66"/>
              </w:numPr>
            </w:pPr>
            <w:r w:rsidRPr="00D40DC4">
              <w:t>Pótlási költség</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tcPr>
          <w:p w:rsidR="007740C5" w:rsidRPr="00D40DC4" w:rsidRDefault="007740C5" w:rsidP="006F2748">
            <w:pPr>
              <w:numPr>
                <w:ilvl w:val="0"/>
                <w:numId w:val="66"/>
              </w:numPr>
            </w:pPr>
            <w:r w:rsidRPr="00D40DC4">
              <w:t>Maradványérték*</w:t>
            </w:r>
          </w:p>
        </w:tc>
        <w:tc>
          <w:tcPr>
            <w:tcW w:w="754" w:type="pct"/>
            <w:shd w:val="clear" w:color="auto" w:fill="auto"/>
            <w:noWrap/>
            <w:vAlign w:val="bottom"/>
          </w:tcPr>
          <w:p w:rsidR="007740C5" w:rsidRPr="00D40DC4" w:rsidRDefault="007740C5" w:rsidP="00EE10BE">
            <w:pPr>
              <w:spacing w:after="0"/>
              <w:rPr>
                <w:rFonts w:cs="Arial"/>
                <w:szCs w:val="20"/>
              </w:rPr>
            </w:pPr>
          </w:p>
        </w:tc>
        <w:tc>
          <w:tcPr>
            <w:tcW w:w="754" w:type="pct"/>
            <w:vAlign w:val="bottom"/>
          </w:tcPr>
          <w:p w:rsidR="007740C5" w:rsidRPr="00D40DC4" w:rsidRDefault="007740C5" w:rsidP="00EE10BE">
            <w:pPr>
              <w:spacing w:after="0"/>
              <w:rPr>
                <w:rFonts w:cs="Arial"/>
                <w:szCs w:val="20"/>
              </w:rPr>
            </w:pPr>
          </w:p>
        </w:tc>
        <w:tc>
          <w:tcPr>
            <w:tcW w:w="754" w:type="pct"/>
          </w:tcPr>
          <w:p w:rsidR="007740C5" w:rsidRPr="00D40DC4" w:rsidRDefault="007740C5" w:rsidP="00EE10BE">
            <w:pPr>
              <w:spacing w:after="0"/>
              <w:rPr>
                <w:rFonts w:cs="Arial"/>
                <w:szCs w:val="20"/>
              </w:rPr>
            </w:pPr>
          </w:p>
        </w:tc>
        <w:tc>
          <w:tcPr>
            <w:tcW w:w="168" w:type="pct"/>
            <w:shd w:val="clear" w:color="auto" w:fill="auto"/>
            <w:noWrap/>
            <w:vAlign w:val="bottom"/>
          </w:tcPr>
          <w:p w:rsidR="007740C5" w:rsidRPr="00D40DC4" w:rsidRDefault="007740C5" w:rsidP="00EE10BE">
            <w:pPr>
              <w:spacing w:after="0"/>
              <w:rPr>
                <w:rFonts w:cs="Arial"/>
                <w:szCs w:val="20"/>
              </w:rPr>
            </w:pPr>
          </w:p>
        </w:tc>
        <w:tc>
          <w:tcPr>
            <w:tcW w:w="754"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1815" w:type="pct"/>
            <w:shd w:val="clear" w:color="auto" w:fill="auto"/>
            <w:noWrap/>
          </w:tcPr>
          <w:p w:rsidR="007740C5" w:rsidRPr="00D40DC4" w:rsidRDefault="007740C5" w:rsidP="006F2748">
            <w:pPr>
              <w:numPr>
                <w:ilvl w:val="0"/>
                <w:numId w:val="66"/>
              </w:numPr>
            </w:pPr>
            <w:r w:rsidRPr="00D40DC4">
              <w:t>Közgazdasági költségek összesen (1+2+3)</w:t>
            </w:r>
          </w:p>
        </w:tc>
        <w:tc>
          <w:tcPr>
            <w:tcW w:w="754" w:type="pct"/>
            <w:shd w:val="clear" w:color="auto" w:fill="auto"/>
            <w:noWrap/>
            <w:vAlign w:val="bottom"/>
          </w:tcPr>
          <w:p w:rsidR="007740C5" w:rsidRPr="00D40DC4" w:rsidRDefault="007740C5" w:rsidP="00EE10BE">
            <w:pPr>
              <w:spacing w:after="0"/>
              <w:rPr>
                <w:rFonts w:cs="Arial"/>
                <w:b/>
                <w:szCs w:val="20"/>
              </w:rPr>
            </w:pPr>
          </w:p>
        </w:tc>
        <w:tc>
          <w:tcPr>
            <w:tcW w:w="754" w:type="pct"/>
            <w:vAlign w:val="bottom"/>
          </w:tcPr>
          <w:p w:rsidR="007740C5" w:rsidRPr="00D40DC4" w:rsidRDefault="007740C5" w:rsidP="00EE10BE">
            <w:pPr>
              <w:spacing w:after="0"/>
              <w:rPr>
                <w:rFonts w:cs="Arial"/>
                <w:b/>
                <w:szCs w:val="20"/>
              </w:rPr>
            </w:pPr>
          </w:p>
        </w:tc>
        <w:tc>
          <w:tcPr>
            <w:tcW w:w="754" w:type="pct"/>
          </w:tcPr>
          <w:p w:rsidR="007740C5" w:rsidRPr="00D40DC4" w:rsidRDefault="007740C5" w:rsidP="00EE10BE">
            <w:pPr>
              <w:spacing w:after="0"/>
              <w:rPr>
                <w:rFonts w:cs="Arial"/>
                <w:b/>
                <w:szCs w:val="20"/>
              </w:rPr>
            </w:pPr>
          </w:p>
        </w:tc>
        <w:tc>
          <w:tcPr>
            <w:tcW w:w="168" w:type="pct"/>
            <w:shd w:val="clear" w:color="auto" w:fill="auto"/>
            <w:noWrap/>
            <w:vAlign w:val="bottom"/>
          </w:tcPr>
          <w:p w:rsidR="007740C5" w:rsidRPr="00D40DC4" w:rsidRDefault="007740C5" w:rsidP="00EE10BE">
            <w:pPr>
              <w:spacing w:after="0"/>
              <w:rPr>
                <w:rFonts w:cs="Arial"/>
                <w:b/>
                <w:szCs w:val="20"/>
              </w:rPr>
            </w:pPr>
          </w:p>
        </w:tc>
        <w:tc>
          <w:tcPr>
            <w:tcW w:w="754" w:type="pct"/>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221929">
      <w:pPr>
        <w:rPr>
          <w:rFonts w:cs="Arial"/>
        </w:rPr>
      </w:pPr>
    </w:p>
    <w:p w:rsidR="00322396" w:rsidRPr="00D40DC4" w:rsidRDefault="00322396" w:rsidP="00DD7E6C">
      <w:pPr>
        <w:pStyle w:val="Cmsor2"/>
      </w:pPr>
      <w:bookmarkStart w:id="724" w:name="_Toc177825073"/>
      <w:bookmarkStart w:id="725" w:name="_Toc241657547"/>
      <w:bookmarkStart w:id="726" w:name="_Toc228260769"/>
      <w:bookmarkStart w:id="727" w:name="_Ref428192311"/>
      <w:bookmarkStart w:id="728" w:name="_Ref428258497"/>
      <w:bookmarkStart w:id="729" w:name="_Toc436923915"/>
      <w:r w:rsidRPr="00D40DC4">
        <w:t>A projekt hasznainak becslése</w:t>
      </w:r>
      <w:bookmarkEnd w:id="724"/>
      <w:bookmarkEnd w:id="725"/>
      <w:bookmarkEnd w:id="726"/>
      <w:bookmarkEnd w:id="727"/>
      <w:bookmarkEnd w:id="728"/>
      <w:bookmarkEnd w:id="729"/>
    </w:p>
    <w:p w:rsidR="008A2F95" w:rsidRPr="00D40DC4" w:rsidRDefault="008A2F95" w:rsidP="00221929">
      <w:pPr>
        <w:rPr>
          <w:rFonts w:cs="Arial"/>
        </w:rPr>
      </w:pPr>
      <w:r w:rsidRPr="00D40DC4">
        <w:rPr>
          <w:rFonts w:cs="Arial"/>
        </w:rPr>
        <w:t xml:space="preserve">A projekt hasznainak becslésére több módszer is alkalmazható. 2009-ben az Európai Bizottság elfogadta a magyar KHE útmutatóban található haszonbecslési módszertant, amely egy több éve kialakult számítási módszer, és amelyet a jelen </w:t>
      </w:r>
      <w:r w:rsidR="00472A5F" w:rsidRPr="00D40DC4">
        <w:rPr>
          <w:rFonts w:cs="Arial"/>
        </w:rPr>
        <w:t>Ú</w:t>
      </w:r>
      <w:r w:rsidRPr="00D40DC4">
        <w:rPr>
          <w:rFonts w:cs="Arial"/>
        </w:rPr>
        <w:t>tmutató aktualizál.</w:t>
      </w:r>
    </w:p>
    <w:p w:rsidR="00322396" w:rsidRPr="00D40DC4" w:rsidRDefault="00322396" w:rsidP="00221929">
      <w:pPr>
        <w:rPr>
          <w:rFonts w:cs="Arial"/>
        </w:rPr>
      </w:pPr>
      <w:r w:rsidRPr="00D40DC4">
        <w:rPr>
          <w:rFonts w:cs="Arial"/>
        </w:rPr>
        <w:t xml:space="preserve">A projekt hatásai lehetnek: </w:t>
      </w:r>
    </w:p>
    <w:p w:rsidR="00322396" w:rsidRPr="00D40DC4" w:rsidRDefault="00322396" w:rsidP="006C5A6D">
      <w:pPr>
        <w:numPr>
          <w:ilvl w:val="0"/>
          <w:numId w:val="31"/>
        </w:numPr>
      </w:pPr>
      <w:r w:rsidRPr="00D40DC4">
        <w:t>közvetlenül a projekt használóinál, a szolgáltatást igénybe vevőknél jelentkező hasznok</w:t>
      </w:r>
    </w:p>
    <w:p w:rsidR="003C2BB4" w:rsidRPr="00D40DC4" w:rsidRDefault="003C2BB4" w:rsidP="006C5A6D">
      <w:pPr>
        <w:numPr>
          <w:ilvl w:val="0"/>
          <w:numId w:val="31"/>
        </w:numPr>
      </w:pPr>
      <w:r w:rsidRPr="00D40DC4">
        <w:t>externális (</w:t>
      </w:r>
      <w:r w:rsidR="00322396" w:rsidRPr="00D40DC4">
        <w:t>külső gazdasági</w:t>
      </w:r>
      <w:r w:rsidRPr="00D40DC4">
        <w:t>)</w:t>
      </w:r>
      <w:r w:rsidR="00322396" w:rsidRPr="00D40DC4">
        <w:t xml:space="preserve"> hatások azon hatások, amelyek </w:t>
      </w:r>
    </w:p>
    <w:p w:rsidR="003C2BB4" w:rsidRPr="00D40DC4" w:rsidRDefault="00322396" w:rsidP="006C5A6D">
      <w:pPr>
        <w:numPr>
          <w:ilvl w:val="1"/>
          <w:numId w:val="31"/>
        </w:numPr>
      </w:pPr>
      <w:r w:rsidRPr="00D40DC4">
        <w:t xml:space="preserve">nem közvetlenül a projekt kedvezményezettjénél vagy a projekt használóinál jelentkeznek, és </w:t>
      </w:r>
    </w:p>
    <w:p w:rsidR="00322396" w:rsidRPr="00D40DC4" w:rsidRDefault="00322396" w:rsidP="006C5A6D">
      <w:pPr>
        <w:numPr>
          <w:ilvl w:val="1"/>
          <w:numId w:val="31"/>
        </w:numPr>
      </w:pPr>
      <w:r w:rsidRPr="00D40DC4">
        <w:t>közvetlen pénzügyi ellentételezés nem kíséri őket</w:t>
      </w:r>
    </w:p>
    <w:p w:rsidR="00056C82" w:rsidRPr="00D40DC4" w:rsidRDefault="00056C82" w:rsidP="00971400">
      <w:bookmarkStart w:id="730" w:name="_Toc427330932"/>
      <w:bookmarkStart w:id="731" w:name="_Toc428260449"/>
      <w:bookmarkStart w:id="732" w:name="_Toc428280413"/>
      <w:bookmarkStart w:id="733" w:name="_Toc428430993"/>
      <w:bookmarkStart w:id="734" w:name="_Toc428431957"/>
      <w:bookmarkStart w:id="735" w:name="_Toc428636539"/>
      <w:bookmarkStart w:id="736" w:name="_Toc428772116"/>
      <w:bookmarkEnd w:id="730"/>
      <w:bookmarkEnd w:id="731"/>
      <w:bookmarkEnd w:id="732"/>
      <w:bookmarkEnd w:id="733"/>
      <w:bookmarkEnd w:id="734"/>
      <w:bookmarkEnd w:id="735"/>
      <w:bookmarkEnd w:id="736"/>
      <w:r w:rsidRPr="00D40DC4">
        <w:lastRenderedPageBreak/>
        <w:t>A közgazdasági hasznoknál főszabály szerint nem szabad közvetett hasznok (pl. multiplikátor hatás) figyelembe venni. Ennek oka, hogy ha a másodlagos piacok hatékonyak, akkor az elemzés a közvetett hatásokat már figyelembe vette az árnyékárak alkalmazásával és az externáliák pénzben történő kifejezésével. Ha pedig a másodlagos piacok nem hatékonyak, és a közvetett hatások jelentősek, akkor a közvetett hatásokat a projekt közvetlen hatásainak kell tekinteni és így kell őket bevonni a projekt közgazdasági elemzésébe.</w:t>
      </w:r>
    </w:p>
    <w:p w:rsidR="00056C82" w:rsidRPr="00D40DC4" w:rsidRDefault="00056C82" w:rsidP="00971400">
      <w:r w:rsidRPr="00D40DC4">
        <w:t>A közgazdasági elemzésen a pénzügyi bevételek (mint például a használók által fizetett díjak) helyett a projekt, a felhasználók fizetési hajlandósága (WTP – willingness to pay) alapján becsült közvetlen hasznait kell figyelembe venni, csökkentve a kínálati költségek változásával. Az eljárás a következőkkel indokolható:</w:t>
      </w:r>
    </w:p>
    <w:p w:rsidR="00056C82" w:rsidRPr="00D40DC4" w:rsidRDefault="00056C82" w:rsidP="006C5A6D">
      <w:pPr>
        <w:numPr>
          <w:ilvl w:val="0"/>
          <w:numId w:val="31"/>
        </w:numPr>
      </w:pPr>
      <w:r w:rsidRPr="00D40DC4">
        <w:t>azokban az ágazatokban, ahol nincs piaci verseny, vagy a kormányzati szektor által szabályozottak/befolyásoltak, a felhasználók által fizetett díjak nem feltétlen tükrözik megfelelően a kínált javak társadalmi árait. Ilyen közjószág például az egészségügy.</w:t>
      </w:r>
    </w:p>
    <w:p w:rsidR="00056C82" w:rsidRPr="00D40DC4" w:rsidRDefault="003C2BB4" w:rsidP="006C5A6D">
      <w:pPr>
        <w:numPr>
          <w:ilvl w:val="0"/>
          <w:numId w:val="31"/>
        </w:numPr>
      </w:pPr>
      <w:r w:rsidRPr="00D40DC4">
        <w:t>egyes</w:t>
      </w:r>
      <w:r w:rsidR="00056C82" w:rsidRPr="00D40DC4">
        <w:t xml:space="preserve"> javak vagy szolgáltatások használata további társadalmi hasznokat generálhat, melyek nem jelennek meg a piacon, ezáltal az áraik nem figyelhetők meg – például ilyennek tekinthetők az időmegtakarítások, az elkerült balesetek stb.</w:t>
      </w:r>
    </w:p>
    <w:p w:rsidR="00993487" w:rsidRPr="00D40DC4" w:rsidRDefault="00056C82" w:rsidP="00971400">
      <w:r w:rsidRPr="00D40DC4">
        <w:t xml:space="preserve">A fizetési hajlandóság következésképp a társadalmi érték </w:t>
      </w:r>
      <w:r w:rsidR="003C2BB4" w:rsidRPr="00D40DC4">
        <w:t xml:space="preserve">a piaci áraknál </w:t>
      </w:r>
      <w:r w:rsidRPr="00D40DC4">
        <w:t>jobb becslését jelenti</w:t>
      </w:r>
      <w:r w:rsidR="003C2BB4" w:rsidRPr="00D40DC4">
        <w:t>.</w:t>
      </w:r>
    </w:p>
    <w:p w:rsidR="007740C5" w:rsidRPr="00D40DC4" w:rsidRDefault="007740C5" w:rsidP="00971400">
      <w:r w:rsidRPr="00D40DC4">
        <w:t>A közgazdasági hasznokat a következő mintatáblában kell bemutatni (plusz sor felvételére lehetőség van).</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737" w:name="_Toc428557418"/>
      <w:bookmarkStart w:id="738" w:name="_Toc436923965"/>
      <w:r w:rsidR="007B4938" w:rsidRPr="00D40DC4">
        <w:rPr>
          <w:noProof/>
        </w:rPr>
        <w:t>32</w:t>
      </w:r>
      <w:r w:rsidRPr="00D40DC4">
        <w:rPr>
          <w:noProof/>
        </w:rPr>
        <w:fldChar w:fldCharType="end"/>
      </w:r>
      <w:r w:rsidRPr="00D40DC4">
        <w:rPr>
          <w:noProof/>
        </w:rPr>
        <w:t>. táblázat: Közgazdasági hasznok összegzése (Ft, különbözet)</w:t>
      </w:r>
      <w:bookmarkEnd w:id="737"/>
      <w:bookmarkEnd w:id="7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18"/>
        <w:gridCol w:w="1197"/>
        <w:gridCol w:w="1198"/>
        <w:gridCol w:w="1198"/>
        <w:gridCol w:w="260"/>
        <w:gridCol w:w="1041"/>
      </w:tblGrid>
      <w:tr w:rsidR="007740C5" w:rsidRPr="00D40DC4" w:rsidTr="00971400">
        <w:trPr>
          <w:trHeight w:val="255"/>
          <w:tblHeader/>
        </w:trPr>
        <w:tc>
          <w:tcPr>
            <w:tcW w:w="2344"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650"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EPV</w:t>
            </w:r>
          </w:p>
        </w:tc>
        <w:tc>
          <w:tcPr>
            <w:tcW w:w="650" w:type="pct"/>
            <w:shd w:val="clear" w:color="auto" w:fill="99CCFF"/>
          </w:tcPr>
          <w:p w:rsidR="007740C5" w:rsidRPr="00D40DC4" w:rsidRDefault="007740C5" w:rsidP="00EE10BE">
            <w:pPr>
              <w:spacing w:after="0"/>
              <w:jc w:val="center"/>
              <w:rPr>
                <w:rFonts w:cs="Arial"/>
                <w:b/>
                <w:szCs w:val="20"/>
              </w:rPr>
            </w:pPr>
            <w:r w:rsidRPr="00D40DC4">
              <w:rPr>
                <w:rFonts w:cs="Arial"/>
                <w:b/>
                <w:szCs w:val="20"/>
              </w:rPr>
              <w:t>1. év</w:t>
            </w:r>
          </w:p>
        </w:tc>
        <w:tc>
          <w:tcPr>
            <w:tcW w:w="650"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41"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565"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971400">
        <w:trPr>
          <w:trHeight w:val="255"/>
        </w:trPr>
        <w:tc>
          <w:tcPr>
            <w:tcW w:w="2344" w:type="pct"/>
            <w:shd w:val="clear" w:color="auto" w:fill="auto"/>
            <w:noWrap/>
          </w:tcPr>
          <w:p w:rsidR="007740C5" w:rsidRPr="00D40DC4" w:rsidRDefault="007740C5" w:rsidP="006F2748">
            <w:pPr>
              <w:numPr>
                <w:ilvl w:val="0"/>
                <w:numId w:val="67"/>
              </w:numPr>
              <w:rPr>
                <w:szCs w:val="20"/>
              </w:rPr>
            </w:pPr>
            <w:r w:rsidRPr="00D40DC4">
              <w:t>Közgazdasági haszonelem 1</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41" w:type="pct"/>
            <w:shd w:val="clear" w:color="auto" w:fill="auto"/>
            <w:noWrap/>
            <w:vAlign w:val="bottom"/>
          </w:tcPr>
          <w:p w:rsidR="007740C5" w:rsidRPr="00D40DC4" w:rsidRDefault="007740C5" w:rsidP="00EE10BE">
            <w:pPr>
              <w:spacing w:after="0"/>
              <w:rPr>
                <w:rFonts w:cs="Arial"/>
                <w:szCs w:val="20"/>
              </w:rPr>
            </w:pPr>
          </w:p>
        </w:tc>
        <w:tc>
          <w:tcPr>
            <w:tcW w:w="565" w:type="pct"/>
            <w:shd w:val="clear" w:color="auto" w:fill="auto"/>
            <w:noWrap/>
            <w:vAlign w:val="bottom"/>
          </w:tcPr>
          <w:p w:rsidR="007740C5" w:rsidRPr="00D40DC4" w:rsidRDefault="007740C5" w:rsidP="00EE10BE">
            <w:pPr>
              <w:spacing w:after="0"/>
              <w:rPr>
                <w:rFonts w:cs="Arial"/>
                <w:szCs w:val="20"/>
              </w:rPr>
            </w:pPr>
          </w:p>
        </w:tc>
      </w:tr>
      <w:tr w:rsidR="007740C5" w:rsidRPr="00D40DC4" w:rsidTr="00971400">
        <w:trPr>
          <w:trHeight w:val="255"/>
        </w:trPr>
        <w:tc>
          <w:tcPr>
            <w:tcW w:w="2344" w:type="pct"/>
            <w:shd w:val="clear" w:color="auto" w:fill="auto"/>
            <w:noWrap/>
          </w:tcPr>
          <w:p w:rsidR="007740C5" w:rsidRPr="00D40DC4" w:rsidRDefault="007740C5" w:rsidP="006F2748">
            <w:pPr>
              <w:numPr>
                <w:ilvl w:val="0"/>
                <w:numId w:val="67"/>
              </w:numPr>
              <w:rPr>
                <w:szCs w:val="20"/>
              </w:rPr>
            </w:pPr>
            <w:r w:rsidRPr="00D40DC4">
              <w:t>Közgazdasági haszonelem 2</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41" w:type="pct"/>
            <w:shd w:val="clear" w:color="auto" w:fill="auto"/>
            <w:noWrap/>
            <w:vAlign w:val="bottom"/>
          </w:tcPr>
          <w:p w:rsidR="007740C5" w:rsidRPr="00D40DC4" w:rsidRDefault="007740C5" w:rsidP="00EE10BE">
            <w:pPr>
              <w:spacing w:after="0"/>
              <w:rPr>
                <w:rFonts w:cs="Arial"/>
                <w:szCs w:val="20"/>
              </w:rPr>
            </w:pPr>
          </w:p>
        </w:tc>
        <w:tc>
          <w:tcPr>
            <w:tcW w:w="565" w:type="pct"/>
            <w:shd w:val="clear" w:color="auto" w:fill="auto"/>
            <w:noWrap/>
            <w:vAlign w:val="bottom"/>
          </w:tcPr>
          <w:p w:rsidR="007740C5" w:rsidRPr="00D40DC4" w:rsidRDefault="007740C5" w:rsidP="00EE10BE">
            <w:pPr>
              <w:spacing w:after="0"/>
              <w:rPr>
                <w:rFonts w:cs="Arial"/>
                <w:szCs w:val="20"/>
              </w:rPr>
            </w:pPr>
          </w:p>
        </w:tc>
      </w:tr>
      <w:tr w:rsidR="007740C5" w:rsidRPr="00D40DC4" w:rsidTr="00971400">
        <w:trPr>
          <w:trHeight w:val="255"/>
        </w:trPr>
        <w:tc>
          <w:tcPr>
            <w:tcW w:w="2344" w:type="pct"/>
            <w:shd w:val="clear" w:color="auto" w:fill="auto"/>
            <w:noWrap/>
          </w:tcPr>
          <w:p w:rsidR="007740C5" w:rsidRPr="00D40DC4" w:rsidRDefault="007740C5" w:rsidP="006F2748">
            <w:pPr>
              <w:numPr>
                <w:ilvl w:val="0"/>
                <w:numId w:val="67"/>
              </w:numPr>
              <w:rPr>
                <w:szCs w:val="20"/>
              </w:rPr>
            </w:pPr>
            <w:r w:rsidRPr="00D40DC4">
              <w:t>Közgazdasági haszonelem 3</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41" w:type="pct"/>
            <w:shd w:val="clear" w:color="auto" w:fill="auto"/>
            <w:noWrap/>
            <w:vAlign w:val="bottom"/>
          </w:tcPr>
          <w:p w:rsidR="007740C5" w:rsidRPr="00D40DC4" w:rsidRDefault="007740C5" w:rsidP="00EE10BE">
            <w:pPr>
              <w:spacing w:after="0"/>
              <w:rPr>
                <w:rFonts w:cs="Arial"/>
                <w:szCs w:val="20"/>
              </w:rPr>
            </w:pPr>
          </w:p>
        </w:tc>
        <w:tc>
          <w:tcPr>
            <w:tcW w:w="565" w:type="pct"/>
            <w:shd w:val="clear" w:color="auto" w:fill="auto"/>
            <w:noWrap/>
            <w:vAlign w:val="bottom"/>
          </w:tcPr>
          <w:p w:rsidR="007740C5" w:rsidRPr="00D40DC4" w:rsidRDefault="007740C5" w:rsidP="00EE10BE">
            <w:pPr>
              <w:spacing w:after="0"/>
              <w:rPr>
                <w:rFonts w:cs="Arial"/>
                <w:szCs w:val="20"/>
              </w:rPr>
            </w:pPr>
          </w:p>
        </w:tc>
      </w:tr>
      <w:tr w:rsidR="007740C5" w:rsidRPr="00D40DC4" w:rsidTr="00971400">
        <w:trPr>
          <w:trHeight w:val="255"/>
        </w:trPr>
        <w:tc>
          <w:tcPr>
            <w:tcW w:w="2344" w:type="pct"/>
            <w:shd w:val="clear" w:color="auto" w:fill="auto"/>
            <w:noWrap/>
            <w:vAlign w:val="bottom"/>
          </w:tcPr>
          <w:p w:rsidR="007740C5" w:rsidRPr="00D40DC4" w:rsidRDefault="007740C5" w:rsidP="006F2748">
            <w:pPr>
              <w:numPr>
                <w:ilvl w:val="0"/>
                <w:numId w:val="67"/>
              </w:numPr>
            </w:pPr>
            <w:r w:rsidRPr="00D40DC4">
              <w:t>Közgazdasági hasznok összesen</w:t>
            </w:r>
          </w:p>
        </w:tc>
        <w:tc>
          <w:tcPr>
            <w:tcW w:w="650" w:type="pct"/>
            <w:shd w:val="clear" w:color="auto" w:fill="auto"/>
            <w:noWrap/>
            <w:vAlign w:val="bottom"/>
          </w:tcPr>
          <w:p w:rsidR="007740C5" w:rsidRPr="00D40DC4" w:rsidRDefault="007740C5" w:rsidP="00EE10BE">
            <w:pPr>
              <w:spacing w:after="0"/>
              <w:rPr>
                <w:rFonts w:cs="Arial"/>
                <w:b/>
                <w:szCs w:val="20"/>
              </w:rPr>
            </w:pPr>
          </w:p>
        </w:tc>
        <w:tc>
          <w:tcPr>
            <w:tcW w:w="650" w:type="pct"/>
          </w:tcPr>
          <w:p w:rsidR="007740C5" w:rsidRPr="00D40DC4" w:rsidRDefault="007740C5" w:rsidP="00EE10BE">
            <w:pPr>
              <w:spacing w:after="0"/>
              <w:rPr>
                <w:rFonts w:cs="Arial"/>
                <w:b/>
                <w:szCs w:val="20"/>
              </w:rPr>
            </w:pPr>
          </w:p>
        </w:tc>
        <w:tc>
          <w:tcPr>
            <w:tcW w:w="650" w:type="pct"/>
          </w:tcPr>
          <w:p w:rsidR="007740C5" w:rsidRPr="00D40DC4" w:rsidRDefault="007740C5" w:rsidP="00EE10BE">
            <w:pPr>
              <w:spacing w:after="0"/>
              <w:rPr>
                <w:rFonts w:cs="Arial"/>
                <w:b/>
                <w:szCs w:val="20"/>
              </w:rPr>
            </w:pPr>
          </w:p>
        </w:tc>
        <w:tc>
          <w:tcPr>
            <w:tcW w:w="141" w:type="pct"/>
            <w:shd w:val="clear" w:color="auto" w:fill="auto"/>
            <w:noWrap/>
            <w:vAlign w:val="bottom"/>
          </w:tcPr>
          <w:p w:rsidR="007740C5" w:rsidRPr="00D40DC4" w:rsidRDefault="007740C5" w:rsidP="00EE10BE">
            <w:pPr>
              <w:spacing w:after="0"/>
              <w:rPr>
                <w:rFonts w:cs="Arial"/>
                <w:b/>
                <w:szCs w:val="20"/>
              </w:rPr>
            </w:pPr>
          </w:p>
        </w:tc>
        <w:tc>
          <w:tcPr>
            <w:tcW w:w="565" w:type="pct"/>
            <w:shd w:val="clear" w:color="auto" w:fill="auto"/>
            <w:noWrap/>
            <w:vAlign w:val="bottom"/>
          </w:tcPr>
          <w:p w:rsidR="007740C5" w:rsidRPr="00D40DC4" w:rsidRDefault="007740C5" w:rsidP="00EE10BE">
            <w:pPr>
              <w:spacing w:after="0"/>
              <w:rPr>
                <w:rFonts w:cs="Arial"/>
                <w:b/>
                <w:szCs w:val="20"/>
              </w:rPr>
            </w:pPr>
          </w:p>
        </w:tc>
      </w:tr>
    </w:tbl>
    <w:p w:rsidR="007740C5" w:rsidRPr="00D40DC4" w:rsidRDefault="007740C5" w:rsidP="00971400"/>
    <w:p w:rsidR="00B07C75" w:rsidRPr="00D40DC4" w:rsidRDefault="005E5B87" w:rsidP="00B07C75">
      <w:r w:rsidRPr="00D40DC4">
        <w:t>A projektek közgazdasági hátasai ágazatonként eltérőek lehetnek. A Bizottság (EU) 2015/207/EU végrehajtási rendelete alapján ágazatonként a</w:t>
      </w:r>
      <w:r w:rsidR="00BC1725" w:rsidRPr="00D40DC4">
        <w:t xml:space="preserve">z 2. Mellékletben </w:t>
      </w:r>
      <w:r w:rsidR="00B07C75" w:rsidRPr="00D40DC4">
        <w:t>bemutatott</w:t>
      </w:r>
      <w:r w:rsidRPr="00D40DC4">
        <w:t xml:space="preserve"> fő közgazdasági hasznokat érdemes figyelembe venni.</w:t>
      </w:r>
      <w:r w:rsidR="00B07C75" w:rsidRPr="00D40DC4">
        <w:t xml:space="preserve"> A végrehajtási rendelet kimondja, hogy indokolt esetben egyéb hatások is figyelembe vehetők – a kvantitatív hatások között ebben az esetben is csak megfelelően alátámasztott és </w:t>
      </w:r>
      <w:r w:rsidR="003C2BB4" w:rsidRPr="00D40DC4">
        <w:t>a Jelen fejezetben részletezett</w:t>
      </w:r>
      <w:r w:rsidR="00B07C75" w:rsidRPr="00D40DC4">
        <w:t xml:space="preserve"> szabályoknak megfelelő hatások vehetők figyelembe.</w:t>
      </w:r>
    </w:p>
    <w:p w:rsidR="00A462DE" w:rsidRPr="00D40DC4" w:rsidRDefault="00A462DE" w:rsidP="00B07C75">
      <w:r w:rsidRPr="00D40DC4">
        <w:t>Közlekedési projektek esetében célszerű az IKOP költség-haszon elemzési útmutatót is használni.</w:t>
      </w:r>
    </w:p>
    <w:p w:rsidR="00322396" w:rsidRPr="00D40DC4" w:rsidRDefault="00322396" w:rsidP="00DD7E6C">
      <w:pPr>
        <w:pStyle w:val="Cmsor2"/>
      </w:pPr>
      <w:bookmarkStart w:id="739" w:name="_Toc428260452"/>
      <w:bookmarkStart w:id="740" w:name="_Toc428280416"/>
      <w:bookmarkStart w:id="741" w:name="_Toc428430996"/>
      <w:bookmarkStart w:id="742" w:name="_Toc428431960"/>
      <w:bookmarkStart w:id="743" w:name="_Toc428636542"/>
      <w:bookmarkStart w:id="744" w:name="_Toc428772119"/>
      <w:bookmarkStart w:id="745" w:name="_Toc428260453"/>
      <w:bookmarkStart w:id="746" w:name="_Toc428280417"/>
      <w:bookmarkStart w:id="747" w:name="_Toc428430997"/>
      <w:bookmarkStart w:id="748" w:name="_Toc428431961"/>
      <w:bookmarkStart w:id="749" w:name="_Toc428636543"/>
      <w:bookmarkStart w:id="750" w:name="_Toc428772120"/>
      <w:bookmarkStart w:id="751" w:name="_Toc428260494"/>
      <w:bookmarkStart w:id="752" w:name="_Toc428280458"/>
      <w:bookmarkStart w:id="753" w:name="_Toc428431038"/>
      <w:bookmarkStart w:id="754" w:name="_Toc428432002"/>
      <w:bookmarkStart w:id="755" w:name="_Toc428636584"/>
      <w:bookmarkStart w:id="756" w:name="_Toc428772161"/>
      <w:bookmarkStart w:id="757" w:name="_Toc428260552"/>
      <w:bookmarkStart w:id="758" w:name="_Toc428280516"/>
      <w:bookmarkStart w:id="759" w:name="_Toc428431096"/>
      <w:bookmarkStart w:id="760" w:name="_Toc428432060"/>
      <w:bookmarkStart w:id="761" w:name="_Toc428636642"/>
      <w:bookmarkStart w:id="762" w:name="_Toc428772219"/>
      <w:bookmarkStart w:id="763" w:name="_Toc156131294"/>
      <w:bookmarkStart w:id="764" w:name="_Toc156277992"/>
      <w:bookmarkStart w:id="765" w:name="_Toc156644956"/>
      <w:bookmarkStart w:id="766" w:name="_Toc156689732"/>
      <w:bookmarkStart w:id="767" w:name="_Toc428260598"/>
      <w:bookmarkStart w:id="768" w:name="_Toc428280562"/>
      <w:bookmarkStart w:id="769" w:name="_Toc428431142"/>
      <w:bookmarkStart w:id="770" w:name="_Toc428432106"/>
      <w:bookmarkStart w:id="771" w:name="_Toc428636688"/>
      <w:bookmarkStart w:id="772" w:name="_Toc428772265"/>
      <w:bookmarkStart w:id="773" w:name="_Toc177825077"/>
      <w:bookmarkStart w:id="774" w:name="_Toc241657551"/>
      <w:bookmarkStart w:id="775" w:name="_Toc228260773"/>
      <w:bookmarkStart w:id="776" w:name="_Ref428192324"/>
      <w:bookmarkStart w:id="777" w:name="_Ref428258506"/>
      <w:bookmarkStart w:id="778" w:name="_Ref428372280"/>
      <w:bookmarkStart w:id="779" w:name="_Toc436923916"/>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sidRPr="00D40DC4">
        <w:t>Közgazdasági teljesítménymutatók</w:t>
      </w:r>
      <w:bookmarkEnd w:id="773"/>
      <w:bookmarkEnd w:id="774"/>
      <w:bookmarkEnd w:id="775"/>
      <w:bookmarkEnd w:id="776"/>
      <w:bookmarkEnd w:id="777"/>
      <w:bookmarkEnd w:id="778"/>
      <w:bookmarkEnd w:id="779"/>
    </w:p>
    <w:p w:rsidR="00322396" w:rsidRPr="00D40DC4" w:rsidRDefault="00322396" w:rsidP="00221929">
      <w:pPr>
        <w:rPr>
          <w:rFonts w:cs="Arial"/>
        </w:rPr>
      </w:pPr>
      <w:bookmarkStart w:id="780" w:name="_Toc168220521"/>
      <w:bookmarkStart w:id="781" w:name="_Toc168297852"/>
      <w:bookmarkEnd w:id="780"/>
      <w:bookmarkEnd w:id="781"/>
      <w:r w:rsidRPr="00D40DC4">
        <w:rPr>
          <w:rFonts w:cs="Arial"/>
        </w:rPr>
        <w:t>A következő közgazdasági teljesítménymutatókat kell kiszámolni és értékelni:</w:t>
      </w:r>
    </w:p>
    <w:p w:rsidR="00322396" w:rsidRPr="00D40DC4" w:rsidRDefault="00322396" w:rsidP="006C5A6D">
      <w:pPr>
        <w:numPr>
          <w:ilvl w:val="0"/>
          <w:numId w:val="27"/>
        </w:numPr>
      </w:pPr>
      <w:r w:rsidRPr="00D40DC4">
        <w:t>ENPV (</w:t>
      </w:r>
      <w:r w:rsidRPr="00D40DC4">
        <w:rPr>
          <w:szCs w:val="23"/>
        </w:rPr>
        <w:t>gazdasági nettó jelenérték)</w:t>
      </w:r>
      <w:r w:rsidRPr="00D40DC4">
        <w:t>: a jövőbeni nettó haszonáramok diszkontált értéke. Az ENPV kiszámítása a projekt megítélésének kulcseleme, mivel csak pozitív ENPV-vel rendelkező projektek támogathatók. A számítás képlete:</w:t>
      </w:r>
    </w:p>
    <w:p w:rsidR="00322396" w:rsidRPr="00D40DC4" w:rsidRDefault="00322396" w:rsidP="00221929">
      <w:pPr>
        <w:rPr>
          <w:rFonts w:cs="Arial"/>
        </w:rPr>
      </w:pPr>
      <w:r w:rsidRPr="00D40DC4">
        <w:rPr>
          <w:rFonts w:cs="Arial"/>
        </w:rPr>
        <w:object w:dxaOrig="2280" w:dyaOrig="680" w14:anchorId="62195CC2">
          <v:shape id="_x0000_i1032" type="#_x0000_t75" style="width:116.25pt;height:36.75pt" o:ole="">
            <v:imagedata r:id="rId27" o:title=""/>
          </v:shape>
          <o:OLEObject Type="Embed" ProgID="Equation.3" ShapeID="_x0000_i1032" DrawAspect="Content" ObjectID="_1587988196" r:id="rId28"/>
        </w:object>
      </w:r>
    </w:p>
    <w:p w:rsidR="00322396" w:rsidRPr="00D40DC4" w:rsidRDefault="00322396" w:rsidP="00221929">
      <w:pPr>
        <w:rPr>
          <w:rFonts w:cs="Arial"/>
          <w:vertAlign w:val="superscript"/>
        </w:rPr>
      </w:pPr>
      <w:r w:rsidRPr="00D40DC4">
        <w:rPr>
          <w:rFonts w:cs="Arial"/>
        </w:rPr>
        <w:t>ahol (X) az adott évre vonatkozó pénzáramlás, (i) a diszkontráta és (t) az aktuális év</w:t>
      </w:r>
    </w:p>
    <w:p w:rsidR="00322396" w:rsidRPr="00D40DC4" w:rsidRDefault="00322396" w:rsidP="006C5A6D">
      <w:pPr>
        <w:numPr>
          <w:ilvl w:val="0"/>
          <w:numId w:val="27"/>
        </w:numPr>
      </w:pPr>
      <w:r w:rsidRPr="00D40DC4">
        <w:t>ERR (</w:t>
      </w:r>
      <w:r w:rsidRPr="00D40DC4">
        <w:rPr>
          <w:szCs w:val="23"/>
        </w:rPr>
        <w:t>gazdasági belső megtérülési ráta)</w:t>
      </w:r>
      <w:r w:rsidRPr="00D40DC4">
        <w:t>: azon diszkontráta, amely mellett az ENPV nulla; A belső megtérülési ráta számításához ugyanaz a képlet használható, azzal a különbséggel, hogy adott az ENPV nagysága (zérus), és a kamatlábat keressük.</w:t>
      </w:r>
    </w:p>
    <w:p w:rsidR="00322396" w:rsidRPr="00D40DC4" w:rsidRDefault="00322396" w:rsidP="00221929">
      <w:pPr>
        <w:rPr>
          <w:rFonts w:cs="Arial"/>
        </w:rPr>
      </w:pPr>
      <w:r w:rsidRPr="00D40DC4">
        <w:rPr>
          <w:rFonts w:cs="Arial"/>
        </w:rPr>
        <w:t xml:space="preserve">Ha </w:t>
      </w:r>
      <w:r w:rsidRPr="00D40DC4">
        <w:rPr>
          <w:rFonts w:cs="Arial"/>
          <w:position w:val="-28"/>
        </w:rPr>
        <w:object w:dxaOrig="2640" w:dyaOrig="680" w14:anchorId="0208728B">
          <v:shape id="_x0000_i1033" type="#_x0000_t75" style="width:131.25pt;height:36.75pt" o:ole="">
            <v:imagedata r:id="rId29" o:title=""/>
          </v:shape>
          <o:OLEObject Type="Embed" ProgID="Equation.3" ShapeID="_x0000_i1033" DrawAspect="Content" ObjectID="_1587988197" r:id="rId30"/>
        </w:object>
      </w:r>
      <w:r w:rsidRPr="00D40DC4">
        <w:rPr>
          <w:rFonts w:cs="Arial"/>
        </w:rPr>
        <w:t>, akkor i= ERR.</w:t>
      </w:r>
    </w:p>
    <w:p w:rsidR="00322396" w:rsidRPr="00D40DC4" w:rsidRDefault="00322396" w:rsidP="00221929">
      <w:pPr>
        <w:rPr>
          <w:rFonts w:cs="Arial"/>
        </w:rPr>
      </w:pPr>
      <w:r w:rsidRPr="00D40DC4">
        <w:rPr>
          <w:rFonts w:cs="Arial"/>
        </w:rPr>
        <w:lastRenderedPageBreak/>
        <w:t>Az ERR-rel kapcsolatos elvárás, hogy legyen nagyobb, mint az alkalmazott közgazdasági diszkontráta (5</w:t>
      </w:r>
      <w:r w:rsidR="00020974" w:rsidRPr="00D40DC4" w:rsidDel="00020974">
        <w:rPr>
          <w:rFonts w:cs="Arial"/>
        </w:rPr>
        <w:t xml:space="preserve"> </w:t>
      </w:r>
      <w:r w:rsidRPr="00D40DC4">
        <w:rPr>
          <w:rFonts w:cs="Arial"/>
        </w:rPr>
        <w:t>%). Amennyiben az ERR nem számítható ki</w:t>
      </w:r>
      <w:r w:rsidRPr="00D40DC4">
        <w:rPr>
          <w:rFonts w:cs="Arial"/>
          <w:vertAlign w:val="superscript"/>
        </w:rPr>
        <w:footnoteReference w:id="17"/>
      </w:r>
      <w:r w:rsidRPr="00D40DC4">
        <w:rPr>
          <w:rFonts w:cs="Arial"/>
          <w:vertAlign w:val="superscript"/>
        </w:rPr>
        <w:t xml:space="preserve">, </w:t>
      </w:r>
      <w:r w:rsidRPr="00D40DC4">
        <w:rPr>
          <w:rFonts w:cs="Arial"/>
        </w:rPr>
        <w:t>csak az ENPV alapján lehet dönteni.</w:t>
      </w:r>
    </w:p>
    <w:p w:rsidR="00322396" w:rsidRPr="00D40DC4" w:rsidRDefault="00322396" w:rsidP="006C5A6D">
      <w:pPr>
        <w:numPr>
          <w:ilvl w:val="0"/>
          <w:numId w:val="27"/>
        </w:numPr>
      </w:pPr>
      <w:r w:rsidRPr="00D40DC4">
        <w:t xml:space="preserve">BCR (haszon-költség arány): a teljes időszakra vonatkozóan a jelenértékre átszámított hasznok és költségek arányát mutatja. A BCR mutatóra vonatkozó követelmény, hogy legyen nagyobb, mint </w:t>
      </w:r>
      <w:smartTag w:uri="urn:schemas-microsoft-com:office:smarttags" w:element="metricconverter">
        <w:smartTagPr>
          <w:attr w:name="ProductID" w:val="1. A"/>
        </w:smartTagPr>
        <w:r w:rsidRPr="00D40DC4">
          <w:t>1. A</w:t>
        </w:r>
      </w:smartTag>
      <w:r w:rsidRPr="00D40DC4">
        <w:t xml:space="preserve"> BCR mutató önmagában kevés információt ad, mivel nem ad tájékoztatást a költségek és hasznok abszolút értékéről, hanem csak azok arányáról.</w:t>
      </w:r>
    </w:p>
    <w:p w:rsidR="00322396" w:rsidRPr="00D40DC4" w:rsidRDefault="00E65954" w:rsidP="00221929">
      <w:pPr>
        <w:rPr>
          <w:rFonts w:cs="Arial"/>
        </w:rPr>
      </w:pPr>
      <w:r w:rsidRPr="00D40DC4">
        <w:rPr>
          <w:rFonts w:cs="Arial"/>
        </w:rPr>
        <w:t>Fontos, hogy amíg az ENPV alapján különböző méretű projektek rangsorolása nem oldható meg, addig az ERR és a BCR erre használható. Egyéb</w:t>
      </w:r>
      <w:r w:rsidR="008939C4" w:rsidRPr="00D40DC4">
        <w:rPr>
          <w:rFonts w:cs="Arial"/>
        </w:rPr>
        <w:t xml:space="preserve"> esetekben</w:t>
      </w:r>
      <w:r w:rsidRPr="00D40DC4">
        <w:rPr>
          <w:rFonts w:cs="Arial"/>
        </w:rPr>
        <w:t xml:space="preserve"> azonban a</w:t>
      </w:r>
      <w:r w:rsidR="00322396" w:rsidRPr="00D40DC4">
        <w:rPr>
          <w:rFonts w:cs="Arial"/>
        </w:rPr>
        <w:t>z ENPV a legfontosabb és legmegbízhatóbb társadalmi költség-haszon elemzési indikátor, amit a projekt értékelésénél a fő közgazdasági teljesítményjelző referenciaként kell tekinteni</w:t>
      </w:r>
      <w:r w:rsidR="008939C4" w:rsidRPr="00D40DC4">
        <w:rPr>
          <w:rFonts w:cs="Arial"/>
        </w:rPr>
        <w:t>.</w:t>
      </w:r>
    </w:p>
    <w:p w:rsidR="007740C5" w:rsidRPr="00D40DC4" w:rsidRDefault="00322396" w:rsidP="00221929">
      <w:pPr>
        <w:rPr>
          <w:rFonts w:cs="Arial"/>
        </w:rPr>
      </w:pPr>
      <w:r w:rsidRPr="00D40DC4">
        <w:rPr>
          <w:rFonts w:cs="Arial"/>
        </w:rPr>
        <w:t>Elvileg minden olyan projektet el kell vetni, ahol az ERR kisebb, mint a társadalmi diszkontráta, vagy az ENPV negatív. Néhány kivételes esetben azonban, a projekt negatív ENPV esetén is javasolható EU támogatásra, amennyiben fontos pénzben nem kifejezhető hasznai vannak</w:t>
      </w:r>
      <w:r w:rsidR="00DD11C4" w:rsidRPr="00D40DC4">
        <w:rPr>
          <w:rFonts w:cs="Arial"/>
        </w:rPr>
        <w:t>.</w:t>
      </w:r>
      <w:r w:rsidRPr="00D40DC4">
        <w:rPr>
          <w:rFonts w:cs="Arial"/>
        </w:rPr>
        <w:t xml:space="preserve"> Ezeket azonban kivételes esetként kell kezelni, és az értékelési jelentésben továbbra is meggyőző módon, strukturált, megfelelő adatokkal alátámasztott indoklás mellett be kell mutatni, hogy bizonyos értelemben a társadalmi hasznok meghaladják a társadalmi költségeket még akkor is, ha az előbbieket a pályázó nem tudja teljes</w:t>
      </w:r>
      <w:r w:rsidR="00DD11C4" w:rsidRPr="00D40DC4">
        <w:rPr>
          <w:rFonts w:cs="Arial"/>
        </w:rPr>
        <w:t xml:space="preserve"> mélységében számszerűsíteni. (</w:t>
      </w:r>
      <w:r w:rsidRPr="00D40DC4">
        <w:rPr>
          <w:rFonts w:cs="Arial"/>
        </w:rPr>
        <w:t xml:space="preserve">EU </w:t>
      </w:r>
      <w:r w:rsidR="00720529" w:rsidRPr="00D40DC4">
        <w:rPr>
          <w:rFonts w:cs="Arial"/>
        </w:rPr>
        <w:t>Útmutató</w:t>
      </w:r>
      <w:r w:rsidRPr="00D40DC4">
        <w:rPr>
          <w:rFonts w:cs="Arial"/>
        </w:rPr>
        <w:t xml:space="preserve"> 20</w:t>
      </w:r>
      <w:r w:rsidR="00720529" w:rsidRPr="00D40DC4">
        <w:rPr>
          <w:rFonts w:cs="Arial"/>
        </w:rPr>
        <w:t>14-2020</w:t>
      </w:r>
      <w:r w:rsidRPr="00D40DC4">
        <w:rPr>
          <w:rFonts w:cs="Arial"/>
        </w:rPr>
        <w:t>)</w:t>
      </w:r>
    </w:p>
    <w:p w:rsidR="0005174F" w:rsidRPr="00D40DC4" w:rsidRDefault="0005174F" w:rsidP="00221929">
      <w:pPr>
        <w:rPr>
          <w:rFonts w:cs="Arial"/>
        </w:rPr>
      </w:pP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782" w:name="_Toc428557419"/>
      <w:bookmarkStart w:id="783" w:name="_Toc436923966"/>
      <w:r w:rsidR="007B4938" w:rsidRPr="00D40DC4">
        <w:rPr>
          <w:noProof/>
        </w:rPr>
        <w:t>33</w:t>
      </w:r>
      <w:r w:rsidRPr="00D40DC4">
        <w:rPr>
          <w:noProof/>
        </w:rPr>
        <w:fldChar w:fldCharType="end"/>
      </w:r>
      <w:r w:rsidRPr="00D40DC4">
        <w:rPr>
          <w:noProof/>
        </w:rPr>
        <w:t>. táblázat: Közgazdasági teljesítménymutatók (Ft, különbözet)</w:t>
      </w:r>
      <w:bookmarkEnd w:id="782"/>
      <w:bookmarkEnd w:id="7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30"/>
        <w:gridCol w:w="1135"/>
        <w:gridCol w:w="1135"/>
        <w:gridCol w:w="1136"/>
        <w:gridCol w:w="340"/>
        <w:gridCol w:w="1136"/>
      </w:tblGrid>
      <w:tr w:rsidR="007740C5" w:rsidRPr="00D40DC4" w:rsidTr="00EE10BE">
        <w:trPr>
          <w:trHeight w:val="255"/>
          <w:tblHeader/>
        </w:trPr>
        <w:tc>
          <w:tcPr>
            <w:tcW w:w="2043"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Megnevezés</w:t>
            </w:r>
          </w:p>
        </w:tc>
        <w:tc>
          <w:tcPr>
            <w:tcW w:w="650"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EPV</w:t>
            </w:r>
          </w:p>
        </w:tc>
        <w:tc>
          <w:tcPr>
            <w:tcW w:w="650" w:type="pct"/>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1. év</w:t>
            </w:r>
          </w:p>
        </w:tc>
        <w:tc>
          <w:tcPr>
            <w:tcW w:w="650" w:type="pct"/>
            <w:shd w:val="clear" w:color="auto" w:fill="99CCFF"/>
          </w:tcPr>
          <w:p w:rsidR="007740C5" w:rsidRPr="00D40DC4" w:rsidRDefault="007740C5" w:rsidP="00EE10BE">
            <w:pPr>
              <w:spacing w:after="0"/>
              <w:jc w:val="center"/>
              <w:rPr>
                <w:rFonts w:cs="Arial"/>
                <w:b/>
                <w:szCs w:val="20"/>
              </w:rPr>
            </w:pPr>
            <w:r w:rsidRPr="00D40DC4">
              <w:rPr>
                <w:rFonts w:cs="Arial"/>
                <w:b/>
                <w:szCs w:val="20"/>
              </w:rPr>
              <w:t>2. év</w:t>
            </w:r>
          </w:p>
        </w:tc>
        <w:tc>
          <w:tcPr>
            <w:tcW w:w="150" w:type="pct"/>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w:t>
            </w:r>
          </w:p>
        </w:tc>
        <w:tc>
          <w:tcPr>
            <w:tcW w:w="650" w:type="pct"/>
            <w:shd w:val="clear" w:color="auto" w:fill="99CCFF"/>
            <w:noWrap/>
            <w:vAlign w:val="bottom"/>
          </w:tcPr>
          <w:p w:rsidR="007740C5" w:rsidRPr="00D40DC4" w:rsidRDefault="007740C5" w:rsidP="00EE10BE">
            <w:pPr>
              <w:spacing w:after="0"/>
              <w:jc w:val="center"/>
              <w:rPr>
                <w:rFonts w:cs="Arial"/>
                <w:b/>
                <w:szCs w:val="20"/>
              </w:rPr>
            </w:pPr>
            <w:r w:rsidRPr="00D40DC4">
              <w:rPr>
                <w:rFonts w:cs="Arial"/>
                <w:b/>
                <w:szCs w:val="20"/>
              </w:rPr>
              <w:t>n. év</w:t>
            </w: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rPr>
                <w:szCs w:val="20"/>
              </w:rPr>
            </w:pPr>
            <w:r w:rsidRPr="00D40DC4">
              <w:t xml:space="preserve">Közgazdasági beruházási költség </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pPr>
            <w:r w:rsidRPr="00D40DC4">
              <w:t>Közgazdasági működési költség</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pPr>
            <w:r w:rsidRPr="00D40DC4">
              <w:t>Közgazdasági maradványérték</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pPr>
            <w:r w:rsidRPr="00D40DC4">
              <w:t>Közgazdasági költségek összesen</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pPr>
            <w:r w:rsidRPr="00D40DC4">
              <w:t>Közgazdasági haszonelem 1</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rPr>
                <w:szCs w:val="20"/>
              </w:rPr>
            </w:pPr>
            <w:r w:rsidRPr="00D40DC4">
              <w:t>Közgazdasági haszonelem 2</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rPr>
                <w:szCs w:val="20"/>
              </w:rPr>
            </w:pPr>
            <w:r w:rsidRPr="00D40DC4">
              <w:t>Közgazdasági haszonelem 3</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rPr>
                <w:szCs w:val="20"/>
              </w:rPr>
            </w:pPr>
            <w:r w:rsidRPr="00D40DC4">
              <w:t>Közgazdasági haszonelem 4</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rPr>
                <w:szCs w:val="20"/>
              </w:rPr>
            </w:pPr>
            <w:r w:rsidRPr="00D40DC4">
              <w:t>Közgazdasági haszonelem 5</w:t>
            </w:r>
          </w:p>
        </w:tc>
        <w:tc>
          <w:tcPr>
            <w:tcW w:w="650" w:type="pct"/>
            <w:shd w:val="clear" w:color="auto" w:fill="auto"/>
            <w:noWrap/>
            <w:vAlign w:val="bottom"/>
          </w:tcPr>
          <w:p w:rsidR="007740C5" w:rsidRPr="00D40DC4" w:rsidRDefault="007740C5" w:rsidP="00EE10BE">
            <w:pPr>
              <w:spacing w:after="0"/>
              <w:rPr>
                <w:rFonts w:cs="Arial"/>
                <w:szCs w:val="20"/>
              </w:rPr>
            </w:pPr>
          </w:p>
        </w:tc>
        <w:tc>
          <w:tcPr>
            <w:tcW w:w="650" w:type="pct"/>
            <w:vAlign w:val="bottom"/>
          </w:tcPr>
          <w:p w:rsidR="007740C5" w:rsidRPr="00D40DC4" w:rsidRDefault="007740C5" w:rsidP="00EE10BE">
            <w:pPr>
              <w:spacing w:after="0"/>
              <w:rPr>
                <w:rFonts w:cs="Arial"/>
                <w:szCs w:val="20"/>
              </w:rPr>
            </w:pPr>
          </w:p>
        </w:tc>
        <w:tc>
          <w:tcPr>
            <w:tcW w:w="650" w:type="pct"/>
          </w:tcPr>
          <w:p w:rsidR="007740C5" w:rsidRPr="00D40DC4" w:rsidRDefault="007740C5" w:rsidP="00EE10BE">
            <w:pPr>
              <w:spacing w:after="0"/>
              <w:rPr>
                <w:rFonts w:cs="Arial"/>
                <w:szCs w:val="20"/>
              </w:rPr>
            </w:pPr>
          </w:p>
        </w:tc>
        <w:tc>
          <w:tcPr>
            <w:tcW w:w="150" w:type="pct"/>
            <w:shd w:val="clear" w:color="auto" w:fill="auto"/>
            <w:noWrap/>
            <w:vAlign w:val="bottom"/>
          </w:tcPr>
          <w:p w:rsidR="007740C5" w:rsidRPr="00D40DC4" w:rsidRDefault="007740C5" w:rsidP="00EE10BE">
            <w:pPr>
              <w:spacing w:after="0"/>
              <w:rPr>
                <w:rFonts w:cs="Arial"/>
                <w:szCs w:val="20"/>
              </w:rPr>
            </w:pPr>
          </w:p>
        </w:tc>
        <w:tc>
          <w:tcPr>
            <w:tcW w:w="650" w:type="pct"/>
            <w:shd w:val="clear" w:color="auto" w:fill="auto"/>
            <w:noWrap/>
            <w:vAlign w:val="bottom"/>
          </w:tcPr>
          <w:p w:rsidR="007740C5" w:rsidRPr="00D40DC4" w:rsidRDefault="007740C5" w:rsidP="00EE10BE">
            <w:pPr>
              <w:spacing w:after="0"/>
              <w:rPr>
                <w:rFonts w:cs="Arial"/>
                <w:szCs w:val="20"/>
              </w:rPr>
            </w:pPr>
          </w:p>
        </w:tc>
      </w:tr>
      <w:tr w:rsidR="007740C5" w:rsidRPr="00D40DC4" w:rsidTr="00EE10BE">
        <w:trPr>
          <w:trHeight w:val="255"/>
        </w:trPr>
        <w:tc>
          <w:tcPr>
            <w:tcW w:w="2043" w:type="pct"/>
            <w:shd w:val="clear" w:color="auto" w:fill="auto"/>
            <w:noWrap/>
          </w:tcPr>
          <w:p w:rsidR="007740C5" w:rsidRPr="00D40DC4" w:rsidRDefault="007740C5" w:rsidP="006F2748">
            <w:pPr>
              <w:numPr>
                <w:ilvl w:val="0"/>
                <w:numId w:val="68"/>
              </w:numPr>
            </w:pPr>
            <w:r w:rsidRPr="00D40DC4">
              <w:t>Közgazdasági hasznok összesen</w:t>
            </w:r>
          </w:p>
        </w:tc>
        <w:tc>
          <w:tcPr>
            <w:tcW w:w="650"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50" w:type="pct"/>
            <w:tcBorders>
              <w:bottom w:val="single" w:sz="4" w:space="0" w:color="auto"/>
            </w:tcBorders>
            <w:vAlign w:val="bottom"/>
          </w:tcPr>
          <w:p w:rsidR="007740C5" w:rsidRPr="00D40DC4" w:rsidRDefault="007740C5" w:rsidP="00EE10BE">
            <w:pPr>
              <w:spacing w:after="0"/>
              <w:rPr>
                <w:rFonts w:cs="Arial"/>
                <w:b/>
                <w:szCs w:val="20"/>
              </w:rPr>
            </w:pPr>
          </w:p>
        </w:tc>
        <w:tc>
          <w:tcPr>
            <w:tcW w:w="650" w:type="pct"/>
            <w:tcBorders>
              <w:bottom w:val="single" w:sz="4" w:space="0" w:color="auto"/>
            </w:tcBorders>
          </w:tcPr>
          <w:p w:rsidR="007740C5" w:rsidRPr="00D40DC4" w:rsidRDefault="007740C5" w:rsidP="00EE10BE">
            <w:pPr>
              <w:spacing w:after="0"/>
              <w:rPr>
                <w:rFonts w:cs="Arial"/>
                <w:b/>
                <w:szCs w:val="20"/>
              </w:rPr>
            </w:pPr>
          </w:p>
        </w:tc>
        <w:tc>
          <w:tcPr>
            <w:tcW w:w="150"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50" w:type="pct"/>
            <w:tcBorders>
              <w:bottom w:val="single" w:sz="4" w:space="0" w:color="auto"/>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Közgazdasági nettó jelenérték (ENPV)</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single" w:sz="4" w:space="0" w:color="auto"/>
              <w:left w:val="single" w:sz="4" w:space="0" w:color="auto"/>
              <w:bottom w:val="nil"/>
              <w:right w:val="nil"/>
            </w:tcBorders>
            <w:vAlign w:val="bottom"/>
          </w:tcPr>
          <w:p w:rsidR="007740C5" w:rsidRPr="00D40DC4" w:rsidRDefault="007740C5" w:rsidP="00EE10BE">
            <w:pPr>
              <w:spacing w:after="0"/>
              <w:rPr>
                <w:rFonts w:cs="Arial"/>
                <w:b/>
                <w:szCs w:val="20"/>
              </w:rPr>
            </w:pPr>
          </w:p>
        </w:tc>
        <w:tc>
          <w:tcPr>
            <w:tcW w:w="650" w:type="pct"/>
            <w:tcBorders>
              <w:top w:val="single" w:sz="4" w:space="0" w:color="auto"/>
              <w:left w:val="nil"/>
              <w:bottom w:val="nil"/>
              <w:right w:val="nil"/>
            </w:tcBorders>
          </w:tcPr>
          <w:p w:rsidR="007740C5" w:rsidRPr="00D40DC4" w:rsidRDefault="007740C5" w:rsidP="00EE10BE">
            <w:pPr>
              <w:spacing w:after="0"/>
              <w:rPr>
                <w:rFonts w:cs="Arial"/>
                <w:b/>
                <w:szCs w:val="20"/>
              </w:rPr>
            </w:pPr>
          </w:p>
        </w:tc>
        <w:tc>
          <w:tcPr>
            <w:tcW w:w="150"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single" w:sz="4" w:space="0" w:color="auto"/>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rFonts w:cs="Arial"/>
                <w:b/>
                <w:szCs w:val="20"/>
              </w:rPr>
            </w:pPr>
            <w:r w:rsidRPr="00D40DC4">
              <w:rPr>
                <w:b/>
              </w:rPr>
              <w:t>Közgazdasági belső megtérülési ráta (ERR)</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nil"/>
              <w:left w:val="single" w:sz="4" w:space="0" w:color="auto"/>
              <w:bottom w:val="nil"/>
              <w:right w:val="nil"/>
            </w:tcBorders>
            <w:vAlign w:val="bottom"/>
          </w:tcPr>
          <w:p w:rsidR="007740C5" w:rsidRPr="00D40DC4" w:rsidRDefault="007740C5" w:rsidP="00EE10BE">
            <w:pPr>
              <w:spacing w:after="0"/>
              <w:rPr>
                <w:rFonts w:cs="Arial"/>
                <w:b/>
                <w:szCs w:val="20"/>
              </w:rPr>
            </w:pPr>
          </w:p>
        </w:tc>
        <w:tc>
          <w:tcPr>
            <w:tcW w:w="650" w:type="pct"/>
            <w:tcBorders>
              <w:top w:val="nil"/>
              <w:left w:val="nil"/>
              <w:bottom w:val="nil"/>
              <w:right w:val="nil"/>
            </w:tcBorders>
          </w:tcPr>
          <w:p w:rsidR="007740C5" w:rsidRPr="00D40DC4" w:rsidRDefault="007740C5" w:rsidP="00EE10BE">
            <w:pPr>
              <w:spacing w:after="0"/>
              <w:rPr>
                <w:rFonts w:cs="Arial"/>
                <w:b/>
                <w:szCs w:val="20"/>
              </w:rPr>
            </w:pPr>
          </w:p>
        </w:tc>
        <w:tc>
          <w:tcPr>
            <w:tcW w:w="150"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r w:rsidR="007740C5" w:rsidRPr="00D40DC4" w:rsidTr="00EE10BE">
        <w:trPr>
          <w:trHeight w:val="255"/>
        </w:trPr>
        <w:tc>
          <w:tcPr>
            <w:tcW w:w="2043" w:type="pct"/>
            <w:tcBorders>
              <w:right w:val="single" w:sz="4" w:space="0" w:color="auto"/>
            </w:tcBorders>
            <w:shd w:val="clear" w:color="auto" w:fill="auto"/>
            <w:noWrap/>
          </w:tcPr>
          <w:p w:rsidR="007740C5" w:rsidRPr="00D40DC4" w:rsidRDefault="007740C5" w:rsidP="00EE10BE">
            <w:pPr>
              <w:spacing w:after="0"/>
              <w:rPr>
                <w:b/>
              </w:rPr>
            </w:pPr>
            <w:r w:rsidRPr="00D40DC4">
              <w:rPr>
                <w:b/>
              </w:rPr>
              <w:t>Közgazdasági haszon-költség mutató (BCR)</w:t>
            </w:r>
          </w:p>
        </w:tc>
        <w:tc>
          <w:tcPr>
            <w:tcW w:w="6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nil"/>
              <w:left w:val="single" w:sz="4" w:space="0" w:color="auto"/>
              <w:bottom w:val="nil"/>
              <w:right w:val="nil"/>
            </w:tcBorders>
            <w:vAlign w:val="bottom"/>
          </w:tcPr>
          <w:p w:rsidR="007740C5" w:rsidRPr="00D40DC4" w:rsidRDefault="007740C5" w:rsidP="00EE10BE">
            <w:pPr>
              <w:spacing w:after="0"/>
              <w:rPr>
                <w:rFonts w:cs="Arial"/>
                <w:b/>
                <w:szCs w:val="20"/>
              </w:rPr>
            </w:pPr>
          </w:p>
        </w:tc>
        <w:tc>
          <w:tcPr>
            <w:tcW w:w="650" w:type="pct"/>
            <w:tcBorders>
              <w:top w:val="nil"/>
              <w:left w:val="nil"/>
              <w:bottom w:val="nil"/>
              <w:right w:val="nil"/>
            </w:tcBorders>
          </w:tcPr>
          <w:p w:rsidR="007740C5" w:rsidRPr="00D40DC4" w:rsidRDefault="007740C5" w:rsidP="00EE10BE">
            <w:pPr>
              <w:spacing w:after="0"/>
              <w:rPr>
                <w:rFonts w:cs="Arial"/>
                <w:b/>
                <w:szCs w:val="20"/>
              </w:rPr>
            </w:pPr>
          </w:p>
        </w:tc>
        <w:tc>
          <w:tcPr>
            <w:tcW w:w="150"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c>
          <w:tcPr>
            <w:tcW w:w="650" w:type="pct"/>
            <w:tcBorders>
              <w:top w:val="nil"/>
              <w:left w:val="nil"/>
              <w:bottom w:val="nil"/>
              <w:right w:val="nil"/>
            </w:tcBorders>
            <w:shd w:val="clear" w:color="auto" w:fill="auto"/>
            <w:noWrap/>
            <w:vAlign w:val="bottom"/>
          </w:tcPr>
          <w:p w:rsidR="007740C5" w:rsidRPr="00D40DC4" w:rsidRDefault="007740C5" w:rsidP="00EE10BE">
            <w:pPr>
              <w:spacing w:after="0"/>
              <w:rPr>
                <w:rFonts w:cs="Arial"/>
                <w:b/>
                <w:szCs w:val="20"/>
              </w:rPr>
            </w:pPr>
          </w:p>
        </w:tc>
      </w:tr>
    </w:tbl>
    <w:p w:rsidR="00322396" w:rsidRPr="00D40DC4" w:rsidRDefault="00322396" w:rsidP="00221929">
      <w:pPr>
        <w:rPr>
          <w:rFonts w:cs="Arial"/>
        </w:rPr>
      </w:pPr>
    </w:p>
    <w:p w:rsidR="00322396" w:rsidRPr="00D40DC4" w:rsidRDefault="00322396" w:rsidP="00DD7E6C">
      <w:pPr>
        <w:pStyle w:val="Cmsor1"/>
      </w:pPr>
      <w:bookmarkStart w:id="784" w:name="_Toc154265316"/>
      <w:bookmarkStart w:id="785" w:name="_Toc154265317"/>
      <w:bookmarkStart w:id="786" w:name="_Toc154265318"/>
      <w:bookmarkStart w:id="787" w:name="_Toc154265319"/>
      <w:bookmarkStart w:id="788" w:name="_Toc154265320"/>
      <w:bookmarkStart w:id="789" w:name="_Toc154265342"/>
      <w:bookmarkStart w:id="790" w:name="_Toc154265343"/>
      <w:bookmarkStart w:id="791" w:name="_Toc154265345"/>
      <w:bookmarkStart w:id="792" w:name="_Toc154265349"/>
      <w:bookmarkStart w:id="793" w:name="_Toc154265350"/>
      <w:bookmarkStart w:id="794" w:name="_Toc239887815"/>
      <w:bookmarkStart w:id="795" w:name="_Toc240012006"/>
      <w:bookmarkStart w:id="796" w:name="_Toc240166600"/>
      <w:bookmarkStart w:id="797" w:name="_Toc240166822"/>
      <w:bookmarkStart w:id="798" w:name="_Toc240167044"/>
      <w:bookmarkStart w:id="799" w:name="_Toc240167261"/>
      <w:bookmarkStart w:id="800" w:name="_Toc240167478"/>
      <w:bookmarkStart w:id="801" w:name="_Toc239887817"/>
      <w:bookmarkStart w:id="802" w:name="_Toc240012008"/>
      <w:bookmarkStart w:id="803" w:name="_Toc240166602"/>
      <w:bookmarkStart w:id="804" w:name="_Toc240166824"/>
      <w:bookmarkStart w:id="805" w:name="_Toc240167046"/>
      <w:bookmarkStart w:id="806" w:name="_Toc240167263"/>
      <w:bookmarkStart w:id="807" w:name="_Toc240167480"/>
      <w:bookmarkStart w:id="808" w:name="_Toc239887818"/>
      <w:bookmarkStart w:id="809" w:name="_Toc240012009"/>
      <w:bookmarkStart w:id="810" w:name="_Toc240166603"/>
      <w:bookmarkStart w:id="811" w:name="_Toc240166825"/>
      <w:bookmarkStart w:id="812" w:name="_Toc240167047"/>
      <w:bookmarkStart w:id="813" w:name="_Toc240167264"/>
      <w:bookmarkStart w:id="814" w:name="_Toc240167481"/>
      <w:bookmarkStart w:id="815" w:name="_Toc239887819"/>
      <w:bookmarkStart w:id="816" w:name="_Toc240012010"/>
      <w:bookmarkStart w:id="817" w:name="_Toc240166604"/>
      <w:bookmarkStart w:id="818" w:name="_Toc240166826"/>
      <w:bookmarkStart w:id="819" w:name="_Toc240167048"/>
      <w:bookmarkStart w:id="820" w:name="_Toc240167265"/>
      <w:bookmarkStart w:id="821" w:name="_Toc240167482"/>
      <w:bookmarkStart w:id="822" w:name="_Toc239887820"/>
      <w:bookmarkStart w:id="823" w:name="_Toc240012011"/>
      <w:bookmarkStart w:id="824" w:name="_Toc240166605"/>
      <w:bookmarkStart w:id="825" w:name="_Toc240166827"/>
      <w:bookmarkStart w:id="826" w:name="_Toc240167049"/>
      <w:bookmarkStart w:id="827" w:name="_Toc240167266"/>
      <w:bookmarkStart w:id="828" w:name="_Toc240167483"/>
      <w:bookmarkStart w:id="829" w:name="_Toc239887821"/>
      <w:bookmarkStart w:id="830" w:name="_Toc240012012"/>
      <w:bookmarkStart w:id="831" w:name="_Toc240166606"/>
      <w:bookmarkStart w:id="832" w:name="_Toc240166828"/>
      <w:bookmarkStart w:id="833" w:name="_Toc240167050"/>
      <w:bookmarkStart w:id="834" w:name="_Toc240167267"/>
      <w:bookmarkStart w:id="835" w:name="_Toc240167484"/>
      <w:bookmarkStart w:id="836" w:name="_Toc239887822"/>
      <w:bookmarkStart w:id="837" w:name="_Toc240012013"/>
      <w:bookmarkStart w:id="838" w:name="_Toc240166607"/>
      <w:bookmarkStart w:id="839" w:name="_Toc240166829"/>
      <w:bookmarkStart w:id="840" w:name="_Toc240167051"/>
      <w:bookmarkStart w:id="841" w:name="_Toc240167268"/>
      <w:bookmarkStart w:id="842" w:name="_Toc240167485"/>
      <w:bookmarkStart w:id="843" w:name="_Toc239887823"/>
      <w:bookmarkStart w:id="844" w:name="_Toc240012014"/>
      <w:bookmarkStart w:id="845" w:name="_Toc240166608"/>
      <w:bookmarkStart w:id="846" w:name="_Toc240166830"/>
      <w:bookmarkStart w:id="847" w:name="_Toc240167052"/>
      <w:bookmarkStart w:id="848" w:name="_Toc240167269"/>
      <w:bookmarkStart w:id="849" w:name="_Toc240167486"/>
      <w:bookmarkStart w:id="850" w:name="_Toc239887824"/>
      <w:bookmarkStart w:id="851" w:name="_Toc240012015"/>
      <w:bookmarkStart w:id="852" w:name="_Toc240166609"/>
      <w:bookmarkStart w:id="853" w:name="_Toc240166831"/>
      <w:bookmarkStart w:id="854" w:name="_Toc240167053"/>
      <w:bookmarkStart w:id="855" w:name="_Toc240167270"/>
      <w:bookmarkStart w:id="856" w:name="_Toc240167487"/>
      <w:bookmarkStart w:id="857" w:name="_Toc239887825"/>
      <w:bookmarkStart w:id="858" w:name="_Toc240012016"/>
      <w:bookmarkStart w:id="859" w:name="_Toc240166610"/>
      <w:bookmarkStart w:id="860" w:name="_Toc240166832"/>
      <w:bookmarkStart w:id="861" w:name="_Toc240167054"/>
      <w:bookmarkStart w:id="862" w:name="_Toc240167271"/>
      <w:bookmarkStart w:id="863" w:name="_Toc240167488"/>
      <w:bookmarkStart w:id="864" w:name="_Toc239887826"/>
      <w:bookmarkStart w:id="865" w:name="_Toc240012017"/>
      <w:bookmarkStart w:id="866" w:name="_Toc240166611"/>
      <w:bookmarkStart w:id="867" w:name="_Toc240166833"/>
      <w:bookmarkStart w:id="868" w:name="_Toc240167055"/>
      <w:bookmarkStart w:id="869" w:name="_Toc240167272"/>
      <w:bookmarkStart w:id="870" w:name="_Toc240167489"/>
      <w:bookmarkStart w:id="871" w:name="_Toc239887827"/>
      <w:bookmarkStart w:id="872" w:name="_Toc240012018"/>
      <w:bookmarkStart w:id="873" w:name="_Toc240166612"/>
      <w:bookmarkStart w:id="874" w:name="_Toc240166834"/>
      <w:bookmarkStart w:id="875" w:name="_Toc240167056"/>
      <w:bookmarkStart w:id="876" w:name="_Toc240167273"/>
      <w:bookmarkStart w:id="877" w:name="_Toc240167490"/>
      <w:bookmarkStart w:id="878" w:name="_Toc239887828"/>
      <w:bookmarkStart w:id="879" w:name="_Toc240012019"/>
      <w:bookmarkStart w:id="880" w:name="_Toc240166613"/>
      <w:bookmarkStart w:id="881" w:name="_Toc240166835"/>
      <w:bookmarkStart w:id="882" w:name="_Toc240167057"/>
      <w:bookmarkStart w:id="883" w:name="_Toc240167274"/>
      <w:bookmarkStart w:id="884" w:name="_Toc240167491"/>
      <w:bookmarkStart w:id="885" w:name="_Toc239887829"/>
      <w:bookmarkStart w:id="886" w:name="_Toc240012020"/>
      <w:bookmarkStart w:id="887" w:name="_Toc240166614"/>
      <w:bookmarkStart w:id="888" w:name="_Toc240166836"/>
      <w:bookmarkStart w:id="889" w:name="_Toc240167058"/>
      <w:bookmarkStart w:id="890" w:name="_Toc240167275"/>
      <w:bookmarkStart w:id="891" w:name="_Toc240167492"/>
      <w:bookmarkStart w:id="892" w:name="_Toc239887830"/>
      <w:bookmarkStart w:id="893" w:name="_Toc240012021"/>
      <w:bookmarkStart w:id="894" w:name="_Toc240166615"/>
      <w:bookmarkStart w:id="895" w:name="_Toc240166837"/>
      <w:bookmarkStart w:id="896" w:name="_Toc240167059"/>
      <w:bookmarkStart w:id="897" w:name="_Toc240167276"/>
      <w:bookmarkStart w:id="898" w:name="_Toc240167493"/>
      <w:bookmarkStart w:id="899" w:name="_Toc239887831"/>
      <w:bookmarkStart w:id="900" w:name="_Toc240012022"/>
      <w:bookmarkStart w:id="901" w:name="_Toc240166616"/>
      <w:bookmarkStart w:id="902" w:name="_Toc240166838"/>
      <w:bookmarkStart w:id="903" w:name="_Toc240167060"/>
      <w:bookmarkStart w:id="904" w:name="_Toc240167277"/>
      <w:bookmarkStart w:id="905" w:name="_Toc240167494"/>
      <w:bookmarkStart w:id="906" w:name="_Toc239887832"/>
      <w:bookmarkStart w:id="907" w:name="_Toc240012023"/>
      <w:bookmarkStart w:id="908" w:name="_Toc240166617"/>
      <w:bookmarkStart w:id="909" w:name="_Toc240166839"/>
      <w:bookmarkStart w:id="910" w:name="_Toc240167061"/>
      <w:bookmarkStart w:id="911" w:name="_Toc240167278"/>
      <w:bookmarkStart w:id="912" w:name="_Toc240167495"/>
      <w:bookmarkStart w:id="913" w:name="_Toc239887833"/>
      <w:bookmarkStart w:id="914" w:name="_Toc240012024"/>
      <w:bookmarkStart w:id="915" w:name="_Toc240166618"/>
      <w:bookmarkStart w:id="916" w:name="_Toc240166840"/>
      <w:bookmarkStart w:id="917" w:name="_Toc240167062"/>
      <w:bookmarkStart w:id="918" w:name="_Toc240167279"/>
      <w:bookmarkStart w:id="919" w:name="_Toc240167496"/>
      <w:bookmarkStart w:id="920" w:name="_Toc239887834"/>
      <w:bookmarkStart w:id="921" w:name="_Toc240012025"/>
      <w:bookmarkStart w:id="922" w:name="_Toc240166619"/>
      <w:bookmarkStart w:id="923" w:name="_Toc240166841"/>
      <w:bookmarkStart w:id="924" w:name="_Toc240167063"/>
      <w:bookmarkStart w:id="925" w:name="_Toc240167280"/>
      <w:bookmarkStart w:id="926" w:name="_Toc240167497"/>
      <w:bookmarkStart w:id="927" w:name="_Toc239887836"/>
      <w:bookmarkStart w:id="928" w:name="_Toc240012027"/>
      <w:bookmarkStart w:id="929" w:name="_Toc240166621"/>
      <w:bookmarkStart w:id="930" w:name="_Toc240166843"/>
      <w:bookmarkStart w:id="931" w:name="_Toc240167065"/>
      <w:bookmarkStart w:id="932" w:name="_Toc240167282"/>
      <w:bookmarkStart w:id="933" w:name="_Toc240167499"/>
      <w:bookmarkStart w:id="934" w:name="_Toc239887837"/>
      <w:bookmarkStart w:id="935" w:name="_Toc240012028"/>
      <w:bookmarkStart w:id="936" w:name="_Toc240166622"/>
      <w:bookmarkStart w:id="937" w:name="_Toc240166844"/>
      <w:bookmarkStart w:id="938" w:name="_Toc240167066"/>
      <w:bookmarkStart w:id="939" w:name="_Toc240167283"/>
      <w:bookmarkStart w:id="940" w:name="_Toc240167500"/>
      <w:bookmarkStart w:id="941" w:name="_Toc239887838"/>
      <w:bookmarkStart w:id="942" w:name="_Toc240012029"/>
      <w:bookmarkStart w:id="943" w:name="_Toc240166623"/>
      <w:bookmarkStart w:id="944" w:name="_Toc240166845"/>
      <w:bookmarkStart w:id="945" w:name="_Toc240167067"/>
      <w:bookmarkStart w:id="946" w:name="_Toc240167284"/>
      <w:bookmarkStart w:id="947" w:name="_Toc240167501"/>
      <w:bookmarkStart w:id="948" w:name="_Toc239887839"/>
      <w:bookmarkStart w:id="949" w:name="_Toc240012030"/>
      <w:bookmarkStart w:id="950" w:name="_Toc240166624"/>
      <w:bookmarkStart w:id="951" w:name="_Toc240166846"/>
      <w:bookmarkStart w:id="952" w:name="_Toc240167068"/>
      <w:bookmarkStart w:id="953" w:name="_Toc240167285"/>
      <w:bookmarkStart w:id="954" w:name="_Toc240167502"/>
      <w:bookmarkStart w:id="955" w:name="_Toc159753919"/>
      <w:bookmarkStart w:id="956" w:name="_Toc240011998"/>
      <w:bookmarkStart w:id="957" w:name="_Toc241657552"/>
      <w:bookmarkStart w:id="958" w:name="_Toc177825078"/>
      <w:bookmarkStart w:id="959" w:name="_Toc228260774"/>
      <w:bookmarkStart w:id="960" w:name="_Toc436923917"/>
      <w:bookmarkStart w:id="961" w:name="_Toc228267892"/>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sidRPr="00D40DC4">
        <w:lastRenderedPageBreak/>
        <w:t>Érzékenység</w:t>
      </w:r>
      <w:r w:rsidR="00E65954" w:rsidRPr="00D40DC4">
        <w:t xml:space="preserve">vizsgálat </w:t>
      </w:r>
      <w:r w:rsidRPr="00D40DC4">
        <w:t>és kockázatelemzés</w:t>
      </w:r>
      <w:bookmarkEnd w:id="956"/>
      <w:bookmarkEnd w:id="957"/>
      <w:bookmarkEnd w:id="958"/>
      <w:bookmarkEnd w:id="959"/>
      <w:bookmarkEnd w:id="960"/>
    </w:p>
    <w:p w:rsidR="00322396" w:rsidRPr="00D40DC4" w:rsidRDefault="00322396" w:rsidP="00221929">
      <w:pPr>
        <w:rPr>
          <w:rFonts w:cs="Arial"/>
        </w:rPr>
      </w:pPr>
      <w:r w:rsidRPr="00D40DC4">
        <w:rPr>
          <w:rFonts w:cs="Arial"/>
        </w:rPr>
        <w:t xml:space="preserve">Az érzékenységvizsgálat és a kockázatelemzés célja annak vizsgálata, hogy a pénzügyi és közgazdasági elemzés során alkalmazott feltételezések és felhasznált input adatok változása milyen hatással van a pénzügyi és közgazdasági teljesítménymutatók alakulására. </w:t>
      </w:r>
    </w:p>
    <w:p w:rsidR="00322396" w:rsidRPr="00D40DC4" w:rsidRDefault="00322396" w:rsidP="00221929">
      <w:pPr>
        <w:rPr>
          <w:rFonts w:cs="Arial"/>
        </w:rPr>
      </w:pPr>
      <w:r w:rsidRPr="00D40DC4">
        <w:rPr>
          <w:rFonts w:cs="Arial"/>
        </w:rPr>
        <w:t xml:space="preserve">Az érzékenységvizsgálat során </w:t>
      </w:r>
      <w:r w:rsidR="0095670B" w:rsidRPr="00D40DC4">
        <w:rPr>
          <w:rFonts w:cs="Arial"/>
        </w:rPr>
        <w:t xml:space="preserve">azt </w:t>
      </w:r>
      <w:r w:rsidRPr="00D40DC4">
        <w:rPr>
          <w:rFonts w:cs="Arial"/>
        </w:rPr>
        <w:t>vizsgáljuk</w:t>
      </w:r>
      <w:r w:rsidR="00E65954" w:rsidRPr="00D40DC4">
        <w:rPr>
          <w:rFonts w:cs="Arial"/>
        </w:rPr>
        <w:t>, hogy</w:t>
      </w:r>
      <w:r w:rsidRPr="00D40DC4">
        <w:rPr>
          <w:rFonts w:cs="Arial"/>
        </w:rPr>
        <w:t xml:space="preserve"> a költségeket és hasznok feltételezett változásai mekkora hatást gyakorolnak a teljesítménymutatókra. </w:t>
      </w:r>
      <w:r w:rsidR="0095670B" w:rsidRPr="00D40DC4">
        <w:rPr>
          <w:rFonts w:cs="Arial"/>
        </w:rPr>
        <w:t xml:space="preserve">Az érzékenységvizsgálat keretein belül szükséges elvégezni a forgatókönyv elemzést is, mely az egyes változók önálló változásai helyett több (rendszerint </w:t>
      </w:r>
      <w:r w:rsidR="00DA5E70" w:rsidRPr="00D40DC4">
        <w:rPr>
          <w:rFonts w:cs="Arial"/>
        </w:rPr>
        <w:t>kettő</w:t>
      </w:r>
      <w:r w:rsidR="0095670B" w:rsidRPr="00D40DC4">
        <w:rPr>
          <w:rFonts w:cs="Arial"/>
        </w:rPr>
        <w:t>) különböző (több változó együttes, reális keretek közt mozgó változását modellező) forgatókönyv vizsgálatára kerül sor.</w:t>
      </w:r>
    </w:p>
    <w:p w:rsidR="00322396" w:rsidRPr="00D40DC4" w:rsidRDefault="0095670B" w:rsidP="00221929">
      <w:pPr>
        <w:rPr>
          <w:rFonts w:cs="Arial"/>
        </w:rPr>
      </w:pPr>
      <w:r w:rsidRPr="00D40DC4">
        <w:rPr>
          <w:rFonts w:cs="Arial"/>
        </w:rPr>
        <w:t xml:space="preserve">A </w:t>
      </w:r>
      <w:r w:rsidR="007C7695" w:rsidRPr="00D40DC4">
        <w:rPr>
          <w:rFonts w:cs="Arial"/>
        </w:rPr>
        <w:t>kockázatelemzés feladata a projekt (megvalósítás és működés) potenciális kockázatainak összegyűjtése, azok értékelése valamint az alapján a megfelelő kockázatmérséklési és –megelőzési stratégiák megalkotása és megvalósítása. A kockázatok értékelése során a kockázat</w:t>
      </w:r>
      <w:r w:rsidR="00DA5E70" w:rsidRPr="00D40DC4">
        <w:rPr>
          <w:rFonts w:cs="Arial"/>
        </w:rPr>
        <w:t>elemző</w:t>
      </w:r>
      <w:r w:rsidR="007C7695" w:rsidRPr="00D40DC4">
        <w:rPr>
          <w:rFonts w:cs="Arial"/>
        </w:rPr>
        <w:t xml:space="preserve"> felméri az egyes kockázati események várható hatását valamin</w:t>
      </w:r>
      <w:r w:rsidR="00DA5E70" w:rsidRPr="00D40DC4">
        <w:rPr>
          <w:rFonts w:cs="Arial"/>
        </w:rPr>
        <w:t>t</w:t>
      </w:r>
      <w:r w:rsidR="007C7695" w:rsidRPr="00D40DC4">
        <w:rPr>
          <w:rFonts w:cs="Arial"/>
        </w:rPr>
        <w:t xml:space="preserve"> a bekövetkezés valószínűségét – ezek kombinációi jelentik az alapját a megfelelő és hatékony kockázatmérséklési- és megelőzési stratégiák </w:t>
      </w:r>
      <w:r w:rsidR="00DA5E70" w:rsidRPr="00D40DC4">
        <w:rPr>
          <w:rFonts w:cs="Arial"/>
        </w:rPr>
        <w:t>kiválasztásának</w:t>
      </w:r>
      <w:r w:rsidR="007C7695" w:rsidRPr="00D40DC4">
        <w:rPr>
          <w:rFonts w:cs="Arial"/>
        </w:rPr>
        <w:t>.</w:t>
      </w:r>
    </w:p>
    <w:p w:rsidR="007C7695" w:rsidRPr="00D40DC4" w:rsidRDefault="007C7695" w:rsidP="00221929">
      <w:pPr>
        <w:rPr>
          <w:rFonts w:cs="Arial"/>
        </w:rPr>
      </w:pPr>
      <w:r w:rsidRPr="00D40DC4">
        <w:rPr>
          <w:rFonts w:cs="Arial"/>
        </w:rPr>
        <w:t>Szükséges értékelni továbbá a kockázatmérséklési és –megelőzési stratégiák megvalósítása mellett fennmaradó kockázatokat is</w:t>
      </w:r>
      <w:r w:rsidR="00DA5E70" w:rsidRPr="00D40DC4">
        <w:rPr>
          <w:rFonts w:cs="Arial"/>
        </w:rPr>
        <w:t xml:space="preserve"> –</w:t>
      </w:r>
      <w:r w:rsidRPr="00D40DC4">
        <w:rPr>
          <w:rFonts w:cs="Arial"/>
        </w:rPr>
        <w:t>amennyiben ezek a projekt szempontjából kritikusnak minősülnek, kvantitatív kockázatelemzést is végre kell hajtani.</w:t>
      </w:r>
    </w:p>
    <w:p w:rsidR="00322396" w:rsidRPr="00D40DC4" w:rsidRDefault="00322396" w:rsidP="00DD7E6C">
      <w:pPr>
        <w:pStyle w:val="Cmsor2"/>
      </w:pPr>
      <w:bookmarkStart w:id="962" w:name="_Toc240011999"/>
      <w:bookmarkStart w:id="963" w:name="_Toc241657553"/>
      <w:bookmarkStart w:id="964" w:name="_Toc154282150"/>
      <w:bookmarkStart w:id="965" w:name="_Toc161562619"/>
      <w:bookmarkStart w:id="966" w:name="_Toc177825079"/>
      <w:bookmarkStart w:id="967" w:name="_Toc228260775"/>
      <w:bookmarkStart w:id="968" w:name="_Ref428192345"/>
      <w:bookmarkStart w:id="969" w:name="_Ref428258515"/>
      <w:bookmarkStart w:id="970" w:name="_Toc436923918"/>
      <w:r w:rsidRPr="00D40DC4">
        <w:t>Érzékenységvizsgálat</w:t>
      </w:r>
      <w:bookmarkEnd w:id="962"/>
      <w:bookmarkEnd w:id="963"/>
      <w:bookmarkEnd w:id="964"/>
      <w:bookmarkEnd w:id="965"/>
      <w:bookmarkEnd w:id="966"/>
      <w:bookmarkEnd w:id="967"/>
      <w:bookmarkEnd w:id="968"/>
      <w:bookmarkEnd w:id="969"/>
      <w:bookmarkEnd w:id="970"/>
    </w:p>
    <w:p w:rsidR="00322396" w:rsidRPr="00D40DC4" w:rsidRDefault="00322396" w:rsidP="00221929">
      <w:pPr>
        <w:rPr>
          <w:rFonts w:cs="Arial"/>
        </w:rPr>
      </w:pPr>
      <w:r w:rsidRPr="00D40DC4">
        <w:rPr>
          <w:rFonts w:cs="Arial"/>
        </w:rPr>
        <w:t>Az érzékenységi vizsgálat célja a projekt kritikus változóinak és paramétereinek meghatározása, amelyek változása a legnagyobb hatást gyakorolja az alapesetben kiszámított teljesítmény mutatókra.</w:t>
      </w:r>
    </w:p>
    <w:p w:rsidR="00322396" w:rsidRPr="00D40DC4" w:rsidRDefault="00322396" w:rsidP="00221929">
      <w:pPr>
        <w:rPr>
          <w:rFonts w:cs="Arial"/>
        </w:rPr>
      </w:pPr>
      <w:r w:rsidRPr="00D40DC4">
        <w:rPr>
          <w:rFonts w:cs="Arial"/>
        </w:rPr>
        <w:t xml:space="preserve">A változók egy időben változhatnak úgy, hogy más paraméterek nem módosulnak. Az EU útmutató szerint „kritikus” minden olyan változó, amelynek 1%-os változása (pozitív vagy negatív értelemben) a </w:t>
      </w:r>
      <w:r w:rsidR="00C54BDA" w:rsidRPr="00D40DC4">
        <w:rPr>
          <w:rFonts w:cs="Arial"/>
        </w:rPr>
        <w:t xml:space="preserve">teljesítménymutatók (elsősorban a </w:t>
      </w:r>
      <w:r w:rsidRPr="00D40DC4">
        <w:rPr>
          <w:rFonts w:cs="Arial"/>
        </w:rPr>
        <w:t>nettó jelenérték</w:t>
      </w:r>
      <w:r w:rsidR="00C54BDA" w:rsidRPr="00D40DC4">
        <w:rPr>
          <w:rFonts w:cs="Arial"/>
        </w:rPr>
        <w:t>)</w:t>
      </w:r>
      <w:r w:rsidRPr="00D40DC4">
        <w:rPr>
          <w:rFonts w:cs="Arial"/>
        </w:rPr>
        <w:t xml:space="preserve"> 1%-os vagy annál nagyobb mértékű változását okozza.</w:t>
      </w:r>
    </w:p>
    <w:p w:rsidR="00322396" w:rsidRPr="00D40DC4" w:rsidRDefault="00322396" w:rsidP="00DD7E6C">
      <w:pPr>
        <w:pStyle w:val="Cmsor3"/>
      </w:pPr>
      <w:bookmarkStart w:id="971" w:name="_Toc240012000"/>
      <w:bookmarkStart w:id="972" w:name="_Toc241657554"/>
      <w:bookmarkStart w:id="973" w:name="_Toc228260776"/>
      <w:bookmarkStart w:id="974" w:name="_Toc436923919"/>
      <w:r w:rsidRPr="00D40DC4">
        <w:t>Jelentős tényezők</w:t>
      </w:r>
      <w:bookmarkEnd w:id="971"/>
      <w:bookmarkEnd w:id="972"/>
      <w:bookmarkEnd w:id="973"/>
      <w:bookmarkEnd w:id="974"/>
      <w:r w:rsidRPr="00D40DC4">
        <w:t xml:space="preserve"> </w:t>
      </w:r>
    </w:p>
    <w:p w:rsidR="00322396" w:rsidRPr="00D40DC4" w:rsidRDefault="00322396" w:rsidP="00221929">
      <w:pPr>
        <w:rPr>
          <w:rFonts w:cs="Arial"/>
        </w:rPr>
      </w:pPr>
      <w:r w:rsidRPr="00D40DC4">
        <w:rPr>
          <w:rFonts w:cs="Arial"/>
        </w:rPr>
        <w:t>A kritikus változók meghatározása érdekében számba kell venni azokat a tényezőket, amelyek közvetlen, illetve közvetett hatással vannak a pénzügyi és a közgazdasági költség-haszon teljesítménymutatókra. A közvetlenül meghatározó, pénzben kifejezett főbb tényezőket a következő ábra mutatja.</w:t>
      </w:r>
    </w:p>
    <w:p w:rsidR="00322396" w:rsidRPr="00D40DC4" w:rsidRDefault="002C4DE0" w:rsidP="00E8437F">
      <w:r>
        <w:fldChar w:fldCharType="begin"/>
      </w:r>
      <w:r>
        <w:instrText xml:space="preserve"> SEQ ábra \* ARABIC </w:instrText>
      </w:r>
      <w:r>
        <w:fldChar w:fldCharType="separate"/>
      </w:r>
      <w:bookmarkStart w:id="975" w:name="_Toc436923932"/>
      <w:r w:rsidR="007B4938" w:rsidRPr="00D40DC4">
        <w:rPr>
          <w:noProof/>
        </w:rPr>
        <w:t>6</w:t>
      </w:r>
      <w:r>
        <w:rPr>
          <w:noProof/>
        </w:rPr>
        <w:fldChar w:fldCharType="end"/>
      </w:r>
      <w:bookmarkStart w:id="976" w:name="_Toc426985510"/>
      <w:r w:rsidR="00322396" w:rsidRPr="00D40DC4">
        <w:t>. ábra: Közvetlen hatótényezők</w:t>
      </w:r>
      <w:bookmarkEnd w:id="975"/>
      <w:bookmarkEnd w:id="976"/>
    </w:p>
    <w:tbl>
      <w:tblPr>
        <w:tblW w:w="7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335"/>
        <w:gridCol w:w="2985"/>
      </w:tblGrid>
      <w:tr w:rsidR="00322396" w:rsidRPr="00D40DC4" w:rsidTr="001B452D">
        <w:trPr>
          <w:trHeight w:val="70"/>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322396" w:rsidRPr="00D40DC4" w:rsidRDefault="00322396" w:rsidP="00221929">
            <w:pPr>
              <w:rPr>
                <w:rFonts w:cs="Arial"/>
              </w:rPr>
            </w:pPr>
            <w:r w:rsidRPr="00D40DC4">
              <w:rPr>
                <w:rFonts w:cs="Arial"/>
              </w:rPr>
              <w:t>Pénzügyi bevételek</w:t>
            </w:r>
          </w:p>
        </w:tc>
        <w:tc>
          <w:tcPr>
            <w:tcW w:w="1335" w:type="dxa"/>
            <w:tcBorders>
              <w:top w:val="nil"/>
              <w:left w:val="single" w:sz="4" w:space="0" w:color="auto"/>
              <w:bottom w:val="nil"/>
              <w:right w:val="single" w:sz="4" w:space="0" w:color="auto"/>
            </w:tcBorders>
          </w:tcPr>
          <w:p w:rsidR="00322396" w:rsidRPr="00D40DC4" w:rsidRDefault="00322396" w:rsidP="00221929">
            <w:pPr>
              <w:rPr>
                <w:rFonts w:cs="Arial"/>
              </w:rPr>
            </w:pPr>
            <w:r w:rsidRPr="00D40DC4">
              <w:rPr>
                <w:rFonts w:cs="Arial"/>
                <w:noProof/>
                <w:lang w:eastAsia="hu-HU"/>
              </w:rPr>
              <mc:AlternateContent>
                <mc:Choice Requires="wps">
                  <w:drawing>
                    <wp:anchor distT="0" distB="0" distL="114300" distR="114300" simplePos="0" relativeHeight="251658246" behindDoc="0" locked="0" layoutInCell="1" allowOverlap="1" wp14:anchorId="1237EB3C" wp14:editId="06480A5B">
                      <wp:simplePos x="0" y="0"/>
                      <wp:positionH relativeFrom="column">
                        <wp:posOffset>-71755</wp:posOffset>
                      </wp:positionH>
                      <wp:positionV relativeFrom="paragraph">
                        <wp:posOffset>62865</wp:posOffset>
                      </wp:positionV>
                      <wp:extent cx="800100" cy="0"/>
                      <wp:effectExtent l="0" t="0" r="0" b="0"/>
                      <wp:wrapNone/>
                      <wp:docPr id="23"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87374" id="Line 190"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4.95pt" to="57.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InKgIAAEw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">
                      <v:stroke endarrow="block"/>
                    </v:line>
                  </w:pict>
                </mc:Fallback>
              </mc:AlternateContent>
            </w:r>
          </w:p>
        </w:tc>
        <w:tc>
          <w:tcPr>
            <w:tcW w:w="2985" w:type="dxa"/>
            <w:vMerge w:val="restart"/>
            <w:tcBorders>
              <w:left w:val="single" w:sz="4" w:space="0" w:color="auto"/>
            </w:tcBorders>
          </w:tcPr>
          <w:p w:rsidR="00322396" w:rsidRPr="00D40DC4" w:rsidRDefault="00322396" w:rsidP="00221929">
            <w:pPr>
              <w:rPr>
                <w:rFonts w:cs="Arial"/>
              </w:rPr>
            </w:pPr>
          </w:p>
          <w:p w:rsidR="00322396" w:rsidRPr="00D40DC4" w:rsidRDefault="00322396" w:rsidP="00221929">
            <w:pPr>
              <w:rPr>
                <w:rFonts w:cs="Arial"/>
              </w:rPr>
            </w:pPr>
            <w:r w:rsidRPr="00D40DC4">
              <w:rPr>
                <w:rFonts w:cs="Arial"/>
              </w:rPr>
              <w:t>Pénzügyi teljesítménymutatók</w:t>
            </w:r>
          </w:p>
          <w:p w:rsidR="00322396" w:rsidRPr="00D40DC4" w:rsidRDefault="00322396" w:rsidP="00221929">
            <w:pPr>
              <w:rPr>
                <w:rFonts w:cs="Arial"/>
              </w:rPr>
            </w:pPr>
            <w:r w:rsidRPr="00D40DC4">
              <w:rPr>
                <w:rFonts w:cs="Arial"/>
              </w:rPr>
              <w:t>(FNPV, FRR)</w:t>
            </w:r>
          </w:p>
        </w:tc>
      </w:tr>
      <w:tr w:rsidR="00322396" w:rsidRPr="00D40DC4" w:rsidTr="007E0376">
        <w:trPr>
          <w:trHeight w:val="70"/>
        </w:trPr>
        <w:tc>
          <w:tcPr>
            <w:tcW w:w="3060" w:type="dxa"/>
            <w:tcBorders>
              <w:top w:val="single" w:sz="4" w:space="0" w:color="auto"/>
              <w:left w:val="nil"/>
              <w:bottom w:val="single" w:sz="4" w:space="0" w:color="auto"/>
              <w:right w:val="nil"/>
            </w:tcBorders>
            <w:shd w:val="clear" w:color="auto" w:fill="auto"/>
          </w:tcPr>
          <w:p w:rsidR="00322396" w:rsidRPr="00D40DC4" w:rsidRDefault="00322396" w:rsidP="00221929">
            <w:pPr>
              <w:rPr>
                <w:rFonts w:cs="Arial"/>
              </w:rPr>
            </w:pPr>
          </w:p>
        </w:tc>
        <w:tc>
          <w:tcPr>
            <w:tcW w:w="1335" w:type="dxa"/>
            <w:tcBorders>
              <w:top w:val="nil"/>
              <w:left w:val="nil"/>
              <w:bottom w:val="nil"/>
              <w:right w:val="single" w:sz="4" w:space="0" w:color="auto"/>
            </w:tcBorders>
          </w:tcPr>
          <w:p w:rsidR="00322396" w:rsidRPr="00D40DC4" w:rsidRDefault="00322396" w:rsidP="00221929">
            <w:pPr>
              <w:rPr>
                <w:rFonts w:cs="Arial"/>
              </w:rPr>
            </w:pPr>
          </w:p>
        </w:tc>
        <w:tc>
          <w:tcPr>
            <w:tcW w:w="2985" w:type="dxa"/>
            <w:vMerge/>
            <w:tcBorders>
              <w:left w:val="single" w:sz="4" w:space="0" w:color="auto"/>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single" w:sz="4" w:space="0" w:color="auto"/>
              <w:bottom w:val="single" w:sz="4" w:space="0" w:color="auto"/>
              <w:right w:val="single" w:sz="4" w:space="0" w:color="auto"/>
            </w:tcBorders>
            <w:shd w:val="clear" w:color="auto" w:fill="auto"/>
          </w:tcPr>
          <w:p w:rsidR="00322396" w:rsidRPr="00D40DC4" w:rsidRDefault="00322396" w:rsidP="00221929">
            <w:pPr>
              <w:rPr>
                <w:rFonts w:cs="Arial"/>
              </w:rPr>
            </w:pPr>
            <w:r w:rsidRPr="00D40DC4">
              <w:rPr>
                <w:rFonts w:cs="Arial"/>
              </w:rPr>
              <w:t>Pénzügyi beruházási költség</w:t>
            </w:r>
          </w:p>
        </w:tc>
        <w:tc>
          <w:tcPr>
            <w:tcW w:w="1335" w:type="dxa"/>
            <w:tcBorders>
              <w:top w:val="nil"/>
              <w:left w:val="single" w:sz="4" w:space="0" w:color="auto"/>
              <w:bottom w:val="nil"/>
              <w:right w:val="single" w:sz="4" w:space="0" w:color="auto"/>
            </w:tcBorders>
          </w:tcPr>
          <w:p w:rsidR="00322396" w:rsidRPr="00D40DC4" w:rsidRDefault="00322396" w:rsidP="00221929">
            <w:pPr>
              <w:rPr>
                <w:rFonts w:cs="Arial"/>
              </w:rPr>
            </w:pPr>
            <w:r w:rsidRPr="00D40DC4">
              <w:rPr>
                <w:rFonts w:cs="Arial"/>
                <w:noProof/>
                <w:lang w:eastAsia="hu-HU"/>
              </w:rPr>
              <mc:AlternateContent>
                <mc:Choice Requires="wps">
                  <w:drawing>
                    <wp:anchor distT="0" distB="0" distL="114300" distR="114300" simplePos="0" relativeHeight="251658244" behindDoc="0" locked="0" layoutInCell="1" allowOverlap="1" wp14:anchorId="14C20952" wp14:editId="72EC5478">
                      <wp:simplePos x="0" y="0"/>
                      <wp:positionH relativeFrom="column">
                        <wp:posOffset>-63500</wp:posOffset>
                      </wp:positionH>
                      <wp:positionV relativeFrom="paragraph">
                        <wp:posOffset>43180</wp:posOffset>
                      </wp:positionV>
                      <wp:extent cx="800100" cy="565150"/>
                      <wp:effectExtent l="0" t="0" r="0" b="0"/>
                      <wp:wrapNone/>
                      <wp:docPr id="22"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565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84406" id="Line 18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4pt" to="58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">
                      <v:stroke endarrow="block"/>
                    </v:line>
                  </w:pict>
                </mc:Fallback>
              </mc:AlternateContent>
            </w:r>
            <w:r w:rsidRPr="00D40DC4">
              <w:rPr>
                <w:rFonts w:cs="Arial"/>
                <w:noProof/>
                <w:lang w:eastAsia="hu-HU"/>
              </w:rPr>
              <mc:AlternateContent>
                <mc:Choice Requires="wps">
                  <w:drawing>
                    <wp:anchor distT="0" distB="0" distL="114300" distR="114300" simplePos="0" relativeHeight="251658243" behindDoc="0" locked="0" layoutInCell="1" allowOverlap="1" wp14:anchorId="6F717CF2" wp14:editId="6FD34BC5">
                      <wp:simplePos x="0" y="0"/>
                      <wp:positionH relativeFrom="column">
                        <wp:posOffset>-67310</wp:posOffset>
                      </wp:positionH>
                      <wp:positionV relativeFrom="paragraph">
                        <wp:posOffset>34925</wp:posOffset>
                      </wp:positionV>
                      <wp:extent cx="800100" cy="0"/>
                      <wp:effectExtent l="0" t="0" r="0" b="0"/>
                      <wp:wrapNone/>
                      <wp:docPr id="21"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CCAA0" id="Line 187"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75pt" to="57.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">
                      <v:stroke endarrow="block"/>
                    </v:line>
                  </w:pict>
                </mc:Fallback>
              </mc:AlternateContent>
            </w:r>
          </w:p>
        </w:tc>
        <w:tc>
          <w:tcPr>
            <w:tcW w:w="2985" w:type="dxa"/>
            <w:vMerge/>
            <w:tcBorders>
              <w:left w:val="single" w:sz="4" w:space="0" w:color="auto"/>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nil"/>
              <w:bottom w:val="nil"/>
              <w:right w:val="nil"/>
            </w:tcBorders>
          </w:tcPr>
          <w:p w:rsidR="00322396" w:rsidRPr="00D40DC4" w:rsidRDefault="00322396" w:rsidP="00221929">
            <w:pPr>
              <w:rPr>
                <w:rFonts w:cs="Arial"/>
              </w:rPr>
            </w:pPr>
          </w:p>
        </w:tc>
        <w:tc>
          <w:tcPr>
            <w:tcW w:w="1335" w:type="dxa"/>
            <w:tcBorders>
              <w:top w:val="nil"/>
              <w:left w:val="nil"/>
              <w:bottom w:val="nil"/>
            </w:tcBorders>
          </w:tcPr>
          <w:p w:rsidR="00322396" w:rsidRPr="00D40DC4" w:rsidRDefault="00322396" w:rsidP="00221929">
            <w:pPr>
              <w:rPr>
                <w:rFonts w:cs="Arial"/>
              </w:rPr>
            </w:pPr>
            <w:r w:rsidRPr="00D40DC4">
              <w:rPr>
                <w:rFonts w:cs="Arial"/>
                <w:noProof/>
                <w:lang w:eastAsia="hu-HU"/>
              </w:rPr>
              <mc:AlternateContent>
                <mc:Choice Requires="wps">
                  <w:drawing>
                    <wp:anchor distT="0" distB="0" distL="114300" distR="114300" simplePos="0" relativeHeight="251658245" behindDoc="0" locked="0" layoutInCell="1" allowOverlap="1" wp14:anchorId="180EA826" wp14:editId="05557CB8">
                      <wp:simplePos x="0" y="0"/>
                      <wp:positionH relativeFrom="column">
                        <wp:posOffset>-67310</wp:posOffset>
                      </wp:positionH>
                      <wp:positionV relativeFrom="paragraph">
                        <wp:posOffset>107950</wp:posOffset>
                      </wp:positionV>
                      <wp:extent cx="800100" cy="120650"/>
                      <wp:effectExtent l="0" t="0" r="0" b="0"/>
                      <wp:wrapNone/>
                      <wp:docPr id="20"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120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890C0" id="Line 189"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8.5pt" to="5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">
                      <v:stroke endarrow="block"/>
                    </v:line>
                  </w:pict>
                </mc:Fallback>
              </mc:AlternateContent>
            </w:r>
          </w:p>
        </w:tc>
        <w:tc>
          <w:tcPr>
            <w:tcW w:w="2985" w:type="dxa"/>
            <w:vMerge/>
            <w:tcBorders>
              <w:bottom w:val="single" w:sz="4" w:space="0" w:color="auto"/>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single" w:sz="4" w:space="0" w:color="auto"/>
              <w:bottom w:val="single" w:sz="4" w:space="0" w:color="auto"/>
              <w:right w:val="single" w:sz="4" w:space="0" w:color="auto"/>
            </w:tcBorders>
          </w:tcPr>
          <w:p w:rsidR="00322396" w:rsidRPr="00D40DC4" w:rsidRDefault="00322396" w:rsidP="00221929">
            <w:pPr>
              <w:rPr>
                <w:rFonts w:cs="Arial"/>
              </w:rPr>
            </w:pPr>
            <w:r w:rsidRPr="00D40DC4">
              <w:rPr>
                <w:rFonts w:cs="Arial"/>
              </w:rPr>
              <w:t>Pénzügyi működési költség</w:t>
            </w:r>
          </w:p>
        </w:tc>
        <w:tc>
          <w:tcPr>
            <w:tcW w:w="1335" w:type="dxa"/>
            <w:tcBorders>
              <w:top w:val="nil"/>
              <w:left w:val="single" w:sz="4" w:space="0" w:color="auto"/>
              <w:bottom w:val="nil"/>
              <w:right w:val="nil"/>
            </w:tcBorders>
          </w:tcPr>
          <w:p w:rsidR="00322396" w:rsidRPr="00D40DC4" w:rsidRDefault="00322396" w:rsidP="00221929">
            <w:pPr>
              <w:rPr>
                <w:rFonts w:cs="Arial"/>
              </w:rPr>
            </w:pPr>
            <w:r w:rsidRPr="00D40DC4">
              <w:rPr>
                <w:rFonts w:cs="Arial"/>
                <w:noProof/>
                <w:lang w:eastAsia="hu-HU"/>
              </w:rPr>
              <mc:AlternateContent>
                <mc:Choice Requires="wps">
                  <w:drawing>
                    <wp:anchor distT="0" distB="0" distL="114300" distR="114300" simplePos="0" relativeHeight="251658241" behindDoc="0" locked="0" layoutInCell="1" allowOverlap="1" wp14:anchorId="3B9E5A30" wp14:editId="44F6B7E2">
                      <wp:simplePos x="0" y="0"/>
                      <wp:positionH relativeFrom="column">
                        <wp:posOffset>-67310</wp:posOffset>
                      </wp:positionH>
                      <wp:positionV relativeFrom="paragraph">
                        <wp:posOffset>69850</wp:posOffset>
                      </wp:positionV>
                      <wp:extent cx="800100" cy="457200"/>
                      <wp:effectExtent l="0" t="0" r="0" b="0"/>
                      <wp:wrapNone/>
                      <wp:docPr id="19"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4E278" id="Line 18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5pt" to="57.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">
                      <v:stroke endarrow="block"/>
                    </v:line>
                  </w:pict>
                </mc:Fallback>
              </mc:AlternateContent>
            </w:r>
          </w:p>
        </w:tc>
        <w:tc>
          <w:tcPr>
            <w:tcW w:w="2985" w:type="dxa"/>
            <w:tcBorders>
              <w:top w:val="single" w:sz="4" w:space="0" w:color="auto"/>
              <w:left w:val="nil"/>
              <w:bottom w:val="single" w:sz="4" w:space="0" w:color="auto"/>
              <w:right w:val="nil"/>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nil"/>
              <w:bottom w:val="single" w:sz="4" w:space="0" w:color="auto"/>
              <w:right w:val="nil"/>
            </w:tcBorders>
          </w:tcPr>
          <w:p w:rsidR="00322396" w:rsidRPr="00D40DC4" w:rsidRDefault="00322396" w:rsidP="00221929">
            <w:pPr>
              <w:rPr>
                <w:rFonts w:cs="Arial"/>
              </w:rPr>
            </w:pPr>
          </w:p>
        </w:tc>
        <w:tc>
          <w:tcPr>
            <w:tcW w:w="1335" w:type="dxa"/>
            <w:tcBorders>
              <w:top w:val="nil"/>
              <w:left w:val="nil"/>
              <w:bottom w:val="nil"/>
              <w:right w:val="single" w:sz="4" w:space="0" w:color="auto"/>
            </w:tcBorders>
          </w:tcPr>
          <w:p w:rsidR="00322396" w:rsidRPr="00D40DC4" w:rsidRDefault="00322396" w:rsidP="00221929">
            <w:pPr>
              <w:rPr>
                <w:rFonts w:cs="Arial"/>
              </w:rPr>
            </w:pPr>
          </w:p>
        </w:tc>
        <w:tc>
          <w:tcPr>
            <w:tcW w:w="2985" w:type="dxa"/>
            <w:vMerge w:val="restart"/>
            <w:tcBorders>
              <w:top w:val="single" w:sz="4" w:space="0" w:color="auto"/>
              <w:left w:val="single" w:sz="4" w:space="0" w:color="auto"/>
              <w:right w:val="single" w:sz="4" w:space="0" w:color="auto"/>
            </w:tcBorders>
          </w:tcPr>
          <w:p w:rsidR="00322396" w:rsidRPr="00D40DC4" w:rsidRDefault="00322396" w:rsidP="00221929">
            <w:pPr>
              <w:rPr>
                <w:rFonts w:cs="Arial"/>
              </w:rPr>
            </w:pPr>
          </w:p>
          <w:p w:rsidR="00322396" w:rsidRPr="00D40DC4" w:rsidRDefault="00322396" w:rsidP="00221929">
            <w:pPr>
              <w:rPr>
                <w:rFonts w:cs="Arial"/>
              </w:rPr>
            </w:pPr>
            <w:r w:rsidRPr="00D40DC4">
              <w:rPr>
                <w:rFonts w:cs="Arial"/>
              </w:rPr>
              <w:t xml:space="preserve">Közgazdasági </w:t>
            </w:r>
            <w:r w:rsidRPr="00D40DC4">
              <w:rPr>
                <w:rFonts w:cs="Arial"/>
              </w:rPr>
              <w:lastRenderedPageBreak/>
              <w:t>teljesítménymutatók</w:t>
            </w:r>
          </w:p>
          <w:p w:rsidR="00322396" w:rsidRPr="00D40DC4" w:rsidRDefault="00322396" w:rsidP="00221929">
            <w:pPr>
              <w:rPr>
                <w:rFonts w:cs="Arial"/>
              </w:rPr>
            </w:pPr>
            <w:r w:rsidRPr="00D40DC4">
              <w:rPr>
                <w:rFonts w:cs="Arial"/>
              </w:rPr>
              <w:t>(ENPV, ERR, BCR)</w:t>
            </w:r>
          </w:p>
        </w:tc>
      </w:tr>
      <w:tr w:rsidR="00322396" w:rsidRPr="00D40DC4" w:rsidTr="007E0376">
        <w:tc>
          <w:tcPr>
            <w:tcW w:w="3060" w:type="dxa"/>
            <w:tcBorders>
              <w:top w:val="single" w:sz="4" w:space="0" w:color="auto"/>
              <w:left w:val="single" w:sz="4" w:space="0" w:color="auto"/>
              <w:bottom w:val="single" w:sz="4" w:space="0" w:color="auto"/>
              <w:right w:val="single" w:sz="4" w:space="0" w:color="auto"/>
            </w:tcBorders>
          </w:tcPr>
          <w:p w:rsidR="00322396" w:rsidRPr="00D40DC4" w:rsidRDefault="00322396" w:rsidP="00221929">
            <w:pPr>
              <w:rPr>
                <w:rFonts w:cs="Arial"/>
              </w:rPr>
            </w:pPr>
            <w:r w:rsidRPr="00D40DC4">
              <w:rPr>
                <w:rFonts w:cs="Arial"/>
              </w:rPr>
              <w:t xml:space="preserve">A közgazdasági beruházási és </w:t>
            </w:r>
            <w:r w:rsidRPr="00D40DC4">
              <w:rPr>
                <w:rFonts w:cs="Arial"/>
              </w:rPr>
              <w:lastRenderedPageBreak/>
              <w:t>működési költségek korrekciós tényezői</w:t>
            </w:r>
          </w:p>
        </w:tc>
        <w:tc>
          <w:tcPr>
            <w:tcW w:w="1335" w:type="dxa"/>
            <w:tcBorders>
              <w:top w:val="nil"/>
              <w:left w:val="single" w:sz="4" w:space="0" w:color="auto"/>
              <w:bottom w:val="nil"/>
              <w:right w:val="single" w:sz="4" w:space="0" w:color="auto"/>
            </w:tcBorders>
          </w:tcPr>
          <w:p w:rsidR="00322396" w:rsidRPr="00D40DC4" w:rsidRDefault="00322396" w:rsidP="00221929">
            <w:pPr>
              <w:rPr>
                <w:rFonts w:cs="Arial"/>
              </w:rPr>
            </w:pPr>
            <w:r w:rsidRPr="00D40DC4">
              <w:rPr>
                <w:rFonts w:cs="Arial"/>
                <w:noProof/>
                <w:lang w:eastAsia="hu-HU"/>
              </w:rPr>
              <w:lastRenderedPageBreak/>
              <mc:AlternateContent>
                <mc:Choice Requires="wps">
                  <w:drawing>
                    <wp:anchor distT="0" distB="0" distL="114300" distR="114300" simplePos="0" relativeHeight="251658242" behindDoc="0" locked="0" layoutInCell="1" allowOverlap="1" wp14:anchorId="47F927C7" wp14:editId="3C77CC7E">
                      <wp:simplePos x="0" y="0"/>
                      <wp:positionH relativeFrom="column">
                        <wp:posOffset>-63500</wp:posOffset>
                      </wp:positionH>
                      <wp:positionV relativeFrom="paragraph">
                        <wp:posOffset>220345</wp:posOffset>
                      </wp:positionV>
                      <wp:extent cx="800100" cy="0"/>
                      <wp:effectExtent l="0" t="0" r="0" b="0"/>
                      <wp:wrapNone/>
                      <wp:docPr id="18"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3F9C4" id="Line 18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7.35pt" to="5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">
                      <v:stroke endarrow="block"/>
                    </v:line>
                  </w:pict>
                </mc:Fallback>
              </mc:AlternateContent>
            </w:r>
          </w:p>
        </w:tc>
        <w:tc>
          <w:tcPr>
            <w:tcW w:w="2985" w:type="dxa"/>
            <w:vMerge/>
            <w:tcBorders>
              <w:left w:val="single" w:sz="4" w:space="0" w:color="auto"/>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nil"/>
              <w:bottom w:val="nil"/>
              <w:right w:val="nil"/>
            </w:tcBorders>
          </w:tcPr>
          <w:p w:rsidR="00322396" w:rsidRPr="00D40DC4" w:rsidRDefault="00322396" w:rsidP="00221929">
            <w:pPr>
              <w:rPr>
                <w:rFonts w:cs="Arial"/>
              </w:rPr>
            </w:pPr>
          </w:p>
        </w:tc>
        <w:tc>
          <w:tcPr>
            <w:tcW w:w="1335" w:type="dxa"/>
            <w:tcBorders>
              <w:top w:val="nil"/>
              <w:left w:val="nil"/>
              <w:bottom w:val="nil"/>
              <w:right w:val="single" w:sz="4" w:space="0" w:color="auto"/>
            </w:tcBorders>
          </w:tcPr>
          <w:p w:rsidR="00322396" w:rsidRPr="00D40DC4" w:rsidRDefault="00322396" w:rsidP="00221929">
            <w:pPr>
              <w:rPr>
                <w:rFonts w:cs="Arial"/>
              </w:rPr>
            </w:pPr>
          </w:p>
        </w:tc>
        <w:tc>
          <w:tcPr>
            <w:tcW w:w="2985" w:type="dxa"/>
            <w:vMerge/>
            <w:tcBorders>
              <w:left w:val="single" w:sz="4" w:space="0" w:color="auto"/>
              <w:right w:val="single" w:sz="4" w:space="0" w:color="auto"/>
            </w:tcBorders>
          </w:tcPr>
          <w:p w:rsidR="00322396" w:rsidRPr="00D40DC4" w:rsidRDefault="00322396" w:rsidP="00221929">
            <w:pPr>
              <w:rPr>
                <w:rFonts w:cs="Arial"/>
              </w:rPr>
            </w:pPr>
          </w:p>
        </w:tc>
      </w:tr>
      <w:tr w:rsidR="00322396" w:rsidRPr="00D40DC4" w:rsidTr="007E0376">
        <w:tc>
          <w:tcPr>
            <w:tcW w:w="3060" w:type="dxa"/>
            <w:tcBorders>
              <w:top w:val="single" w:sz="4" w:space="0" w:color="auto"/>
              <w:left w:val="single" w:sz="4" w:space="0" w:color="auto"/>
              <w:bottom w:val="single" w:sz="4" w:space="0" w:color="auto"/>
              <w:right w:val="single" w:sz="4" w:space="0" w:color="auto"/>
            </w:tcBorders>
          </w:tcPr>
          <w:p w:rsidR="00322396" w:rsidRPr="00D40DC4" w:rsidRDefault="00322396" w:rsidP="00221929">
            <w:pPr>
              <w:rPr>
                <w:rFonts w:cs="Arial"/>
              </w:rPr>
            </w:pPr>
            <w:r w:rsidRPr="00D40DC4">
              <w:rPr>
                <w:rFonts w:cs="Arial"/>
              </w:rPr>
              <w:t>Hasznok</w:t>
            </w:r>
          </w:p>
        </w:tc>
        <w:tc>
          <w:tcPr>
            <w:tcW w:w="1335" w:type="dxa"/>
            <w:tcBorders>
              <w:top w:val="nil"/>
              <w:left w:val="single" w:sz="4" w:space="0" w:color="auto"/>
              <w:bottom w:val="nil"/>
              <w:right w:val="single" w:sz="4" w:space="0" w:color="auto"/>
            </w:tcBorders>
          </w:tcPr>
          <w:p w:rsidR="00322396" w:rsidRPr="00D40DC4" w:rsidRDefault="00322396" w:rsidP="00221929">
            <w:pPr>
              <w:rPr>
                <w:rFonts w:cs="Arial"/>
              </w:rPr>
            </w:pPr>
            <w:r w:rsidRPr="00D40DC4">
              <w:rPr>
                <w:rFonts w:cs="Arial"/>
                <w:noProof/>
                <w:lang w:eastAsia="hu-HU"/>
              </w:rPr>
              <mc:AlternateContent>
                <mc:Choice Requires="wps">
                  <w:drawing>
                    <wp:anchor distT="0" distB="0" distL="114300" distR="114300" simplePos="0" relativeHeight="251658240" behindDoc="0" locked="0" layoutInCell="1" allowOverlap="1" wp14:anchorId="5AECD763" wp14:editId="4B0FD418">
                      <wp:simplePos x="0" y="0"/>
                      <wp:positionH relativeFrom="column">
                        <wp:posOffset>-63500</wp:posOffset>
                      </wp:positionH>
                      <wp:positionV relativeFrom="paragraph">
                        <wp:posOffset>36830</wp:posOffset>
                      </wp:positionV>
                      <wp:extent cx="796290" cy="0"/>
                      <wp:effectExtent l="0" t="0" r="0" b="0"/>
                      <wp:wrapNone/>
                      <wp:docPr id="17"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B7748" id="Line 18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9pt" to="5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MJKgIAAEw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">
                      <v:stroke endarrow="block"/>
                    </v:line>
                  </w:pict>
                </mc:Fallback>
              </mc:AlternateContent>
            </w:r>
          </w:p>
        </w:tc>
        <w:tc>
          <w:tcPr>
            <w:tcW w:w="2985" w:type="dxa"/>
            <w:vMerge/>
            <w:tcBorders>
              <w:left w:val="single" w:sz="4" w:space="0" w:color="auto"/>
              <w:bottom w:val="single" w:sz="4" w:space="0" w:color="auto"/>
            </w:tcBorders>
          </w:tcPr>
          <w:p w:rsidR="00322396" w:rsidRPr="00D40DC4" w:rsidRDefault="00322396" w:rsidP="00221929">
            <w:pPr>
              <w:rPr>
                <w:rFonts w:cs="Arial"/>
              </w:rPr>
            </w:pPr>
          </w:p>
        </w:tc>
      </w:tr>
    </w:tbl>
    <w:p w:rsidR="00322396" w:rsidRPr="00D40DC4" w:rsidRDefault="00322396" w:rsidP="00221929">
      <w:pPr>
        <w:rPr>
          <w:rFonts w:cs="Arial"/>
        </w:rPr>
      </w:pPr>
    </w:p>
    <w:p w:rsidR="00322396" w:rsidRPr="00D40DC4" w:rsidRDefault="00322396" w:rsidP="00221929">
      <w:pPr>
        <w:rPr>
          <w:rFonts w:cs="Arial"/>
        </w:rPr>
      </w:pPr>
      <w:r w:rsidRPr="00D40DC4">
        <w:rPr>
          <w:rFonts w:cs="Arial"/>
        </w:rPr>
        <w:t xml:space="preserve">A közvetlen hatótényezőket számos közvetett tényező határozza meg. Ezek némelyike csak egy közvetlen tényezőre, a többitől függetlenül hat, másik része viszont több közvetlen hatótényezőre van kihatással, ezért a teljesítménymutatókban összetett hatást fejtenek ki. </w:t>
      </w:r>
    </w:p>
    <w:p w:rsidR="00322396" w:rsidRPr="00D40DC4" w:rsidRDefault="00322396" w:rsidP="00221929">
      <w:pPr>
        <w:rPr>
          <w:rFonts w:cs="Arial"/>
        </w:rPr>
      </w:pPr>
      <w:r w:rsidRPr="00D40DC4">
        <w:rPr>
          <w:rFonts w:cs="Arial"/>
        </w:rPr>
        <w:t xml:space="preserve">A fontosabb hatótényezők számbavétele alapján a kritikus változók meghatározása érdekében első lépésben a közvetlen hatótényezőket vizsgáljuk meg. Amennyiben a közvetlen hatótényező nem éri el a kritikus változó szintet (1%-os változása nem hat 1%-nál nagyobb mértékben a teljesítménymutatókra), akkor azokat a közvetett tényezőket nem kell továbbvizsgálni, amelyek egyedül erre a közvetlen tényezőre hatnak, továbbá nincsenek összefüggésben más közvetett tényezőkkel. </w:t>
      </w:r>
    </w:p>
    <w:p w:rsidR="00322396" w:rsidRPr="00D40DC4" w:rsidRDefault="00322396" w:rsidP="00221929">
      <w:pPr>
        <w:rPr>
          <w:rFonts w:cs="Arial"/>
        </w:rPr>
      </w:pPr>
      <w:r w:rsidRPr="00D40DC4">
        <w:rPr>
          <w:rFonts w:cs="Arial"/>
        </w:rPr>
        <w:t>A több közvetlen, illetve közvetett tényezőre hat</w:t>
      </w:r>
      <w:r w:rsidR="00D8487D" w:rsidRPr="00D40DC4">
        <w:rPr>
          <w:rFonts w:cs="Arial"/>
        </w:rPr>
        <w:t>ással lévő közvetett tényezőket</w:t>
      </w:r>
      <w:r w:rsidRPr="00D40DC4">
        <w:rPr>
          <w:rFonts w:cs="Arial"/>
        </w:rPr>
        <w:t xml:space="preserve"> jelentős tényezőként kell kezelni és a közvetlen hatótényezőkön keresztüli hatásukat külön kell megvizsgálni. Ezeket a tényezőket nem számszerűsítjük az érzékenységvizsgálatban, azonban a kockázatelemzésben a leglényesebbeket elemezzük.</w:t>
      </w:r>
    </w:p>
    <w:p w:rsidR="00322396" w:rsidRPr="00D40DC4" w:rsidRDefault="00322396" w:rsidP="00221929">
      <w:pPr>
        <w:rPr>
          <w:rFonts w:cs="Arial"/>
        </w:rPr>
      </w:pPr>
      <w:bookmarkStart w:id="977" w:name="_Toc154282152"/>
      <w:bookmarkStart w:id="978" w:name="_Toc161562621"/>
      <w:r w:rsidRPr="00D40DC4">
        <w:rPr>
          <w:rFonts w:cs="Arial"/>
        </w:rPr>
        <w:t>Az elemzés keretében főként az alábbi változók vizsgálatát kell elvégezni.</w:t>
      </w:r>
    </w:p>
    <w:p w:rsidR="00322396" w:rsidRPr="00D40DC4" w:rsidRDefault="00322396" w:rsidP="006C5A6D">
      <w:pPr>
        <w:numPr>
          <w:ilvl w:val="0"/>
          <w:numId w:val="26"/>
        </w:numPr>
        <w:rPr>
          <w:b/>
        </w:rPr>
      </w:pPr>
      <w:r w:rsidRPr="00D40DC4">
        <w:t>A beruházás költsége</w:t>
      </w:r>
    </w:p>
    <w:p w:rsidR="00322396" w:rsidRPr="00D40DC4" w:rsidRDefault="00322396" w:rsidP="006C5A6D">
      <w:pPr>
        <w:numPr>
          <w:ilvl w:val="0"/>
          <w:numId w:val="26"/>
        </w:numPr>
      </w:pPr>
      <w:r w:rsidRPr="00D40DC4">
        <w:t>A népesség növekedésének üteme</w:t>
      </w:r>
    </w:p>
    <w:p w:rsidR="00322396" w:rsidRPr="00D40DC4" w:rsidRDefault="00322396" w:rsidP="006C5A6D">
      <w:pPr>
        <w:numPr>
          <w:ilvl w:val="0"/>
          <w:numId w:val="26"/>
        </w:numPr>
      </w:pPr>
      <w:r w:rsidRPr="00D40DC4">
        <w:t>A vándorlási folyamatok előrejelzése</w:t>
      </w:r>
    </w:p>
    <w:p w:rsidR="00322396" w:rsidRPr="00D40DC4" w:rsidRDefault="00322396" w:rsidP="006C5A6D">
      <w:pPr>
        <w:numPr>
          <w:ilvl w:val="0"/>
          <w:numId w:val="26"/>
        </w:numPr>
      </w:pPr>
      <w:r w:rsidRPr="00D40DC4">
        <w:t>Relatív árváltozás</w:t>
      </w:r>
    </w:p>
    <w:p w:rsidR="00322396" w:rsidRPr="00D40DC4" w:rsidRDefault="00322396" w:rsidP="006C5A6D">
      <w:pPr>
        <w:numPr>
          <w:ilvl w:val="0"/>
          <w:numId w:val="26"/>
        </w:numPr>
      </w:pPr>
      <w:r w:rsidRPr="00D40DC4">
        <w:t>Működési költségek (karbantartás, működtetés, stb.)</w:t>
      </w:r>
    </w:p>
    <w:p w:rsidR="00322396" w:rsidRPr="00D40DC4" w:rsidRDefault="00322396" w:rsidP="006C5A6D">
      <w:pPr>
        <w:numPr>
          <w:ilvl w:val="0"/>
          <w:numId w:val="26"/>
        </w:numPr>
      </w:pPr>
      <w:r w:rsidRPr="00D40DC4">
        <w:t>Az üzemanyag ára</w:t>
      </w:r>
    </w:p>
    <w:p w:rsidR="00322396" w:rsidRPr="00D40DC4" w:rsidRDefault="00322396" w:rsidP="006C5A6D">
      <w:pPr>
        <w:numPr>
          <w:ilvl w:val="0"/>
          <w:numId w:val="26"/>
        </w:numPr>
      </w:pPr>
      <w:r w:rsidRPr="00D40DC4">
        <w:t>Különböző haszonelemek és azok számításának főbb tényezői</w:t>
      </w:r>
    </w:p>
    <w:p w:rsidR="00322396" w:rsidRPr="00D40DC4" w:rsidRDefault="00322396" w:rsidP="00221929">
      <w:pPr>
        <w:rPr>
          <w:rFonts w:cs="Arial"/>
        </w:rPr>
      </w:pPr>
      <w:bookmarkStart w:id="979" w:name="_Toc154282153"/>
      <w:bookmarkEnd w:id="977"/>
      <w:bookmarkEnd w:id="978"/>
      <w:r w:rsidRPr="00D40DC4">
        <w:rPr>
          <w:rFonts w:cs="Arial"/>
        </w:rPr>
        <w:t>Az egymástól függő változók az eredmények torzulását okozhatják, illetve kettős számbavételt idézhetnek elő. Az elemzés ezen lépésében az egymástól függő változókat a vizsgálatból ki kell zárni.</w:t>
      </w:r>
    </w:p>
    <w:bookmarkEnd w:id="979"/>
    <w:p w:rsidR="00322396" w:rsidRPr="00D40DC4" w:rsidRDefault="00322396" w:rsidP="00221929">
      <w:pPr>
        <w:rPr>
          <w:rFonts w:cs="Arial"/>
        </w:rPr>
      </w:pPr>
      <w:r w:rsidRPr="00D40DC4">
        <w:rPr>
          <w:rFonts w:cs="Arial"/>
        </w:rPr>
        <w:t xml:space="preserve">A jelentős hatású változók </w:t>
      </w:r>
      <w:r w:rsidR="00C54BDA" w:rsidRPr="00D40DC4">
        <w:rPr>
          <w:rFonts w:cs="Arial"/>
        </w:rPr>
        <w:t>rugalmasságát kétféleképp kell értékelni:</w:t>
      </w:r>
    </w:p>
    <w:p w:rsidR="00322396" w:rsidRPr="00D40DC4" w:rsidRDefault="00322396" w:rsidP="006C5A6D">
      <w:pPr>
        <w:numPr>
          <w:ilvl w:val="0"/>
          <w:numId w:val="25"/>
        </w:numPr>
      </w:pPr>
      <w:r w:rsidRPr="00D40DC4">
        <w:t>kvantitatív módon: a változók különböző értékei alapján ismételten kiszámított mutatók segítségével meghatározható függvény szerint vagy</w:t>
      </w:r>
    </w:p>
    <w:p w:rsidR="00322396" w:rsidRPr="00D40DC4" w:rsidRDefault="00322396" w:rsidP="006C5A6D">
      <w:pPr>
        <w:numPr>
          <w:ilvl w:val="0"/>
          <w:numId w:val="25"/>
        </w:numPr>
      </w:pPr>
      <w:r w:rsidRPr="00D40DC4">
        <w:t>kvalitatív módon: magas, alacsony rugalmasság</w:t>
      </w:r>
    </w:p>
    <w:p w:rsidR="00322396" w:rsidRPr="00D40DC4" w:rsidRDefault="00322396" w:rsidP="00DD7E6C">
      <w:pPr>
        <w:pStyle w:val="Cmsor3"/>
      </w:pPr>
      <w:bookmarkStart w:id="980" w:name="_Toc240012003"/>
      <w:bookmarkStart w:id="981" w:name="_Toc241657557"/>
      <w:bookmarkStart w:id="982" w:name="_Toc154282154"/>
      <w:bookmarkStart w:id="983" w:name="_Toc161562623"/>
      <w:bookmarkStart w:id="984" w:name="_Toc177825083"/>
      <w:bookmarkStart w:id="985" w:name="_Toc228260779"/>
      <w:bookmarkStart w:id="986" w:name="_Toc436923920"/>
      <w:r w:rsidRPr="00D40DC4">
        <w:t>A projekt kritikus változóinak azonosítása</w:t>
      </w:r>
      <w:bookmarkEnd w:id="980"/>
      <w:bookmarkEnd w:id="981"/>
      <w:bookmarkEnd w:id="982"/>
      <w:bookmarkEnd w:id="983"/>
      <w:bookmarkEnd w:id="984"/>
      <w:bookmarkEnd w:id="985"/>
      <w:bookmarkEnd w:id="986"/>
      <w:r w:rsidRPr="00D40DC4">
        <w:t xml:space="preserve"> </w:t>
      </w:r>
    </w:p>
    <w:p w:rsidR="00322396" w:rsidRPr="00D40DC4" w:rsidRDefault="00C66960" w:rsidP="00221929">
      <w:pPr>
        <w:rPr>
          <w:rFonts w:cs="Arial"/>
        </w:rPr>
      </w:pPr>
      <w:r w:rsidRPr="00D40DC4">
        <w:rPr>
          <w:rFonts w:cs="Arial"/>
        </w:rPr>
        <w:t xml:space="preserve">A jelentős tényezők meghatározását követően </w:t>
      </w:r>
      <w:r w:rsidR="00322396" w:rsidRPr="00D40DC4">
        <w:rPr>
          <w:rFonts w:cs="Arial"/>
        </w:rPr>
        <w:t>azonosításra kerülnek a kritikus változók. Ennek lényege, hogy meg kell állapítani, hogy a vizsgált változók közül melyik rugalmassága nagyobb 1-nél (1%-os változása 1%-nál nagyobb változást idéz elő a teljesítménymutatókban).</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987" w:name="_Toc428557420"/>
      <w:bookmarkStart w:id="988" w:name="_Toc436923967"/>
      <w:r w:rsidR="007B4938" w:rsidRPr="00D40DC4">
        <w:rPr>
          <w:noProof/>
        </w:rPr>
        <w:t>34</w:t>
      </w:r>
      <w:r w:rsidRPr="00D40DC4">
        <w:rPr>
          <w:noProof/>
        </w:rPr>
        <w:fldChar w:fldCharType="end"/>
      </w:r>
      <w:r w:rsidRPr="00D40DC4">
        <w:rPr>
          <w:noProof/>
        </w:rPr>
        <w:t>. táblázat: Az érzékenységvizsgálat eredménye</w:t>
      </w:r>
      <w:bookmarkEnd w:id="987"/>
      <w:bookmarkEnd w:id="988"/>
    </w:p>
    <w:tbl>
      <w:tblPr>
        <w:tblW w:w="5000" w:type="pct"/>
        <w:tblLayout w:type="fixed"/>
        <w:tblCellMar>
          <w:left w:w="70" w:type="dxa"/>
          <w:right w:w="70" w:type="dxa"/>
        </w:tblCellMar>
        <w:tblLook w:val="0000" w:firstRow="0" w:lastRow="0" w:firstColumn="0" w:lastColumn="0" w:noHBand="0" w:noVBand="0"/>
      </w:tblPr>
      <w:tblGrid>
        <w:gridCol w:w="2590"/>
        <w:gridCol w:w="1654"/>
        <w:gridCol w:w="1656"/>
        <w:gridCol w:w="1656"/>
        <w:gridCol w:w="1656"/>
      </w:tblGrid>
      <w:tr w:rsidR="007740C5" w:rsidRPr="00D40DC4" w:rsidTr="00971400">
        <w:trPr>
          <w:trHeight w:val="255"/>
          <w:tblHeader/>
        </w:trPr>
        <w:tc>
          <w:tcPr>
            <w:tcW w:w="1405"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Minta táblázat</w:t>
            </w:r>
          </w:p>
        </w:tc>
        <w:tc>
          <w:tcPr>
            <w:tcW w:w="898" w:type="pct"/>
            <w:tcBorders>
              <w:top w:val="single" w:sz="4" w:space="0" w:color="auto"/>
              <w:left w:val="nil"/>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ENPV változása</w:t>
            </w:r>
          </w:p>
        </w:tc>
        <w:tc>
          <w:tcPr>
            <w:tcW w:w="899" w:type="pct"/>
            <w:tcBorders>
              <w:top w:val="single" w:sz="4" w:space="0" w:color="auto"/>
              <w:left w:val="nil"/>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ERR változása</w:t>
            </w:r>
          </w:p>
        </w:tc>
        <w:tc>
          <w:tcPr>
            <w:tcW w:w="899" w:type="pct"/>
            <w:tcBorders>
              <w:top w:val="single" w:sz="4" w:space="0" w:color="auto"/>
              <w:left w:val="single" w:sz="4" w:space="0" w:color="auto"/>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ENPV változása</w:t>
            </w:r>
          </w:p>
        </w:tc>
        <w:tc>
          <w:tcPr>
            <w:tcW w:w="899"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FRR változása</w:t>
            </w: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9"/>
              </w:numPr>
            </w:pPr>
            <w:r w:rsidRPr="00D40DC4">
              <w:t xml:space="preserve">Beruházási költség </w:t>
            </w:r>
          </w:p>
        </w:tc>
        <w:tc>
          <w:tcPr>
            <w:tcW w:w="898" w:type="pct"/>
            <w:tcBorders>
              <w:top w:val="nil"/>
              <w:left w:val="nil"/>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nil"/>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9"/>
              </w:numPr>
            </w:pPr>
            <w:r w:rsidRPr="00D40DC4">
              <w:t xml:space="preserve">Működési költség </w:t>
            </w:r>
          </w:p>
        </w:tc>
        <w:tc>
          <w:tcPr>
            <w:tcW w:w="898" w:type="pct"/>
            <w:tcBorders>
              <w:top w:val="nil"/>
              <w:left w:val="nil"/>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nil"/>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69"/>
              </w:numPr>
            </w:pPr>
            <w:r w:rsidRPr="00D40DC4">
              <w:t>…</w:t>
            </w:r>
          </w:p>
        </w:tc>
        <w:tc>
          <w:tcPr>
            <w:tcW w:w="898" w:type="pct"/>
            <w:tcBorders>
              <w:top w:val="nil"/>
              <w:left w:val="nil"/>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nil"/>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vAlign w:val="center"/>
          </w:tcPr>
          <w:p w:rsidR="007740C5" w:rsidRPr="00D40DC4" w:rsidRDefault="007740C5" w:rsidP="00EE10BE">
            <w:pPr>
              <w:spacing w:after="0"/>
              <w:jc w:val="center"/>
              <w:rPr>
                <w:rFonts w:cs="Arial"/>
                <w:szCs w:val="20"/>
              </w:rPr>
            </w:pPr>
            <w:r w:rsidRPr="00D40DC4">
              <w:rPr>
                <w:rFonts w:cs="Arial"/>
                <w:szCs w:val="20"/>
              </w:rPr>
              <w:t>.,..%</w:t>
            </w:r>
          </w:p>
        </w:tc>
        <w:tc>
          <w:tcPr>
            <w:tcW w:w="8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40C5" w:rsidRPr="00D40DC4" w:rsidRDefault="007740C5" w:rsidP="00EE10BE">
            <w:pPr>
              <w:spacing w:after="0"/>
              <w:jc w:val="center"/>
              <w:rPr>
                <w:rFonts w:cs="Arial"/>
                <w:szCs w:val="20"/>
              </w:rPr>
            </w:pPr>
            <w:r w:rsidRPr="00D40DC4">
              <w:rPr>
                <w:rFonts w:cs="Arial"/>
                <w:szCs w:val="20"/>
              </w:rPr>
              <w:t>.,..%</w:t>
            </w:r>
          </w:p>
        </w:tc>
      </w:tr>
    </w:tbl>
    <w:p w:rsidR="007740C5" w:rsidRPr="00D40DC4" w:rsidRDefault="007740C5" w:rsidP="00221929">
      <w:pPr>
        <w:rPr>
          <w:rFonts w:cs="Arial"/>
        </w:rPr>
      </w:pPr>
    </w:p>
    <w:p w:rsidR="00322396" w:rsidRPr="00D40DC4" w:rsidRDefault="00322396" w:rsidP="00DD7E6C">
      <w:pPr>
        <w:pStyle w:val="Cmsor3"/>
      </w:pPr>
      <w:bookmarkStart w:id="989" w:name="_Toc240012004"/>
      <w:bookmarkStart w:id="990" w:name="_Toc241657558"/>
      <w:bookmarkStart w:id="991" w:name="_Toc154282155"/>
      <w:bookmarkStart w:id="992" w:name="_Toc161562624"/>
      <w:bookmarkStart w:id="993" w:name="_Toc177825084"/>
      <w:bookmarkStart w:id="994" w:name="_Toc228260780"/>
      <w:bookmarkStart w:id="995" w:name="_Toc436923921"/>
      <w:bookmarkStart w:id="996" w:name="OLE_LINK1"/>
      <w:bookmarkStart w:id="997" w:name="OLE_LINK2"/>
      <w:r w:rsidRPr="00D40DC4">
        <w:lastRenderedPageBreak/>
        <w:t>A küszöbértékek számítása</w:t>
      </w:r>
      <w:bookmarkEnd w:id="989"/>
      <w:bookmarkEnd w:id="990"/>
      <w:bookmarkEnd w:id="991"/>
      <w:bookmarkEnd w:id="992"/>
      <w:bookmarkEnd w:id="993"/>
      <w:bookmarkEnd w:id="994"/>
      <w:bookmarkEnd w:id="995"/>
      <w:r w:rsidRPr="00D40DC4">
        <w:t xml:space="preserve"> </w:t>
      </w:r>
    </w:p>
    <w:bookmarkEnd w:id="996"/>
    <w:bookmarkEnd w:id="997"/>
    <w:p w:rsidR="00322396" w:rsidRPr="00D40DC4" w:rsidRDefault="00D95EC6" w:rsidP="00221929">
      <w:pPr>
        <w:rPr>
          <w:rFonts w:cs="Arial"/>
        </w:rPr>
      </w:pPr>
      <w:r w:rsidRPr="00D40DC4">
        <w:rPr>
          <w:rFonts w:cs="Arial"/>
        </w:rPr>
        <w:t xml:space="preserve">Küszöbértéknek nevezzük a kritikus változók olyan arányú változását, mely mellett a </w:t>
      </w:r>
      <w:r w:rsidR="00322396" w:rsidRPr="00D40DC4">
        <w:rPr>
          <w:rFonts w:cs="Arial"/>
        </w:rPr>
        <w:t>pénzügyi és közgazdasági teljesítménymutatók olyanná, amelyek nem támogathatóvá teszik a projektet. A küszöbér</w:t>
      </w:r>
      <w:r w:rsidR="00E65954" w:rsidRPr="00D40DC4">
        <w:rPr>
          <w:rFonts w:cs="Arial"/>
        </w:rPr>
        <w:t>ték számításnak elsősorban a köz</w:t>
      </w:r>
      <w:r w:rsidR="00322396" w:rsidRPr="00D40DC4">
        <w:rPr>
          <w:rFonts w:cs="Arial"/>
        </w:rPr>
        <w:t>gazdasági</w:t>
      </w:r>
      <w:r w:rsidR="00E65954" w:rsidRPr="00D40DC4">
        <w:rPr>
          <w:rFonts w:cs="Arial"/>
        </w:rPr>
        <w:t xml:space="preserve"> teljesítménymutatók </w:t>
      </w:r>
      <w:r w:rsidR="00322396" w:rsidRPr="00D40DC4">
        <w:rPr>
          <w:rFonts w:cs="Arial"/>
        </w:rPr>
        <w:t>vizsgálatánál van jelentősége.</w:t>
      </w:r>
    </w:p>
    <w:p w:rsidR="007740C5" w:rsidRPr="00D40DC4" w:rsidRDefault="007740C5" w:rsidP="00D20F91">
      <w:pPr>
        <w:pStyle w:val="Tblzat"/>
        <w:rPr>
          <w:noProof/>
        </w:rPr>
      </w:pPr>
      <w:r w:rsidRPr="00D40DC4">
        <w:rPr>
          <w:noProof/>
        </w:rPr>
        <w:fldChar w:fldCharType="begin"/>
      </w:r>
      <w:r w:rsidRPr="00D40DC4">
        <w:rPr>
          <w:noProof/>
        </w:rPr>
        <w:instrText xml:space="preserve"> SEQ táblázat \* ARABIC </w:instrText>
      </w:r>
      <w:r w:rsidRPr="00D40DC4">
        <w:rPr>
          <w:noProof/>
        </w:rPr>
        <w:fldChar w:fldCharType="separate"/>
      </w:r>
      <w:bookmarkStart w:id="998" w:name="_Toc428557421"/>
      <w:bookmarkStart w:id="999" w:name="_Toc436923968"/>
      <w:r w:rsidR="007B4938" w:rsidRPr="00D40DC4">
        <w:rPr>
          <w:noProof/>
        </w:rPr>
        <w:t>35</w:t>
      </w:r>
      <w:r w:rsidRPr="00D40DC4">
        <w:rPr>
          <w:noProof/>
        </w:rPr>
        <w:fldChar w:fldCharType="end"/>
      </w:r>
      <w:r w:rsidRPr="00D40DC4">
        <w:rPr>
          <w:noProof/>
        </w:rPr>
        <w:t>. táblázat: Az egyes változók küszöbértékei</w:t>
      </w:r>
      <w:bookmarkEnd w:id="998"/>
      <w:bookmarkEnd w:id="999"/>
    </w:p>
    <w:tbl>
      <w:tblPr>
        <w:tblW w:w="5000" w:type="pct"/>
        <w:tblLayout w:type="fixed"/>
        <w:tblCellMar>
          <w:left w:w="70" w:type="dxa"/>
          <w:right w:w="70" w:type="dxa"/>
        </w:tblCellMar>
        <w:tblLook w:val="0000" w:firstRow="0" w:lastRow="0" w:firstColumn="0" w:lastColumn="0" w:noHBand="0" w:noVBand="0"/>
      </w:tblPr>
      <w:tblGrid>
        <w:gridCol w:w="2590"/>
        <w:gridCol w:w="1654"/>
        <w:gridCol w:w="1656"/>
        <w:gridCol w:w="1656"/>
        <w:gridCol w:w="1656"/>
      </w:tblGrid>
      <w:tr w:rsidR="007740C5" w:rsidRPr="00D40DC4" w:rsidTr="00971400">
        <w:trPr>
          <w:trHeight w:val="255"/>
          <w:tblHeader/>
        </w:trPr>
        <w:tc>
          <w:tcPr>
            <w:tcW w:w="1405"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Minta táblázat</w:t>
            </w:r>
          </w:p>
        </w:tc>
        <w:tc>
          <w:tcPr>
            <w:tcW w:w="898" w:type="pct"/>
            <w:tcBorders>
              <w:top w:val="single" w:sz="4" w:space="0" w:color="auto"/>
              <w:left w:val="nil"/>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ENPV küszöbérték</w:t>
            </w:r>
          </w:p>
        </w:tc>
        <w:tc>
          <w:tcPr>
            <w:tcW w:w="899" w:type="pct"/>
            <w:tcBorders>
              <w:top w:val="single" w:sz="4" w:space="0" w:color="auto"/>
              <w:left w:val="nil"/>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ERR küszöbérték</w:t>
            </w:r>
          </w:p>
        </w:tc>
        <w:tc>
          <w:tcPr>
            <w:tcW w:w="899" w:type="pct"/>
            <w:tcBorders>
              <w:top w:val="single" w:sz="4" w:space="0" w:color="auto"/>
              <w:left w:val="single" w:sz="4" w:space="0" w:color="auto"/>
              <w:bottom w:val="single" w:sz="4" w:space="0" w:color="auto"/>
              <w:right w:val="single" w:sz="4" w:space="0" w:color="auto"/>
            </w:tcBorders>
            <w:shd w:val="clear" w:color="auto" w:fill="99CCFF"/>
            <w:vAlign w:val="center"/>
          </w:tcPr>
          <w:p w:rsidR="007740C5" w:rsidRPr="00D40DC4" w:rsidRDefault="007740C5" w:rsidP="00EE10BE">
            <w:pPr>
              <w:spacing w:after="0"/>
              <w:jc w:val="center"/>
              <w:rPr>
                <w:rFonts w:cs="Arial"/>
                <w:b/>
                <w:szCs w:val="20"/>
              </w:rPr>
            </w:pPr>
            <w:r w:rsidRPr="00D40DC4">
              <w:rPr>
                <w:rFonts w:cs="Arial"/>
                <w:b/>
                <w:szCs w:val="20"/>
              </w:rPr>
              <w:t>ENPV küszöbérték</w:t>
            </w:r>
          </w:p>
        </w:tc>
        <w:tc>
          <w:tcPr>
            <w:tcW w:w="899"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7740C5" w:rsidRPr="00D40DC4" w:rsidRDefault="007740C5" w:rsidP="00EE10BE">
            <w:pPr>
              <w:spacing w:after="0"/>
              <w:jc w:val="center"/>
              <w:rPr>
                <w:rFonts w:cs="Arial"/>
                <w:b/>
                <w:szCs w:val="20"/>
              </w:rPr>
            </w:pPr>
            <w:r w:rsidRPr="00D40DC4">
              <w:rPr>
                <w:rFonts w:cs="Arial"/>
                <w:b/>
                <w:szCs w:val="20"/>
              </w:rPr>
              <w:t>FRR küszöbérték</w:t>
            </w: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0"/>
              </w:numPr>
            </w:pPr>
            <w:r w:rsidRPr="00D40DC4">
              <w:t xml:space="preserve">Beruházási költség </w:t>
            </w:r>
          </w:p>
        </w:tc>
        <w:tc>
          <w:tcPr>
            <w:tcW w:w="898" w:type="pct"/>
            <w:tcBorders>
              <w:top w:val="nil"/>
              <w:left w:val="nil"/>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c>
          <w:tcPr>
            <w:tcW w:w="899" w:type="pct"/>
            <w:tcBorders>
              <w:top w:val="single" w:sz="4" w:space="0" w:color="auto"/>
              <w:left w:val="nil"/>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0"/>
              </w:numPr>
            </w:pPr>
            <w:r w:rsidRPr="00D40DC4">
              <w:t xml:space="preserve">Működési költség </w:t>
            </w:r>
          </w:p>
        </w:tc>
        <w:tc>
          <w:tcPr>
            <w:tcW w:w="898" w:type="pct"/>
            <w:tcBorders>
              <w:top w:val="nil"/>
              <w:left w:val="nil"/>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c>
          <w:tcPr>
            <w:tcW w:w="899" w:type="pct"/>
            <w:tcBorders>
              <w:top w:val="single" w:sz="4" w:space="0" w:color="auto"/>
              <w:left w:val="nil"/>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r>
      <w:tr w:rsidR="007740C5" w:rsidRPr="00D40DC4" w:rsidTr="00EE10BE">
        <w:trPr>
          <w:trHeight w:val="255"/>
        </w:trPr>
        <w:tc>
          <w:tcPr>
            <w:tcW w:w="1405" w:type="pct"/>
            <w:tcBorders>
              <w:top w:val="nil"/>
              <w:left w:val="single" w:sz="4" w:space="0" w:color="auto"/>
              <w:bottom w:val="single" w:sz="4" w:space="0" w:color="auto"/>
              <w:right w:val="single" w:sz="4" w:space="0" w:color="auto"/>
            </w:tcBorders>
            <w:shd w:val="clear" w:color="auto" w:fill="auto"/>
            <w:noWrap/>
            <w:vAlign w:val="bottom"/>
          </w:tcPr>
          <w:p w:rsidR="007740C5" w:rsidRPr="00D40DC4" w:rsidRDefault="007740C5" w:rsidP="006F2748">
            <w:pPr>
              <w:numPr>
                <w:ilvl w:val="0"/>
                <w:numId w:val="70"/>
              </w:numPr>
            </w:pPr>
            <w:r w:rsidRPr="00D40DC4">
              <w:t>…</w:t>
            </w:r>
          </w:p>
        </w:tc>
        <w:tc>
          <w:tcPr>
            <w:tcW w:w="898" w:type="pct"/>
            <w:tcBorders>
              <w:top w:val="nil"/>
              <w:left w:val="nil"/>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c>
          <w:tcPr>
            <w:tcW w:w="899" w:type="pct"/>
            <w:tcBorders>
              <w:top w:val="single" w:sz="4" w:space="0" w:color="auto"/>
              <w:left w:val="nil"/>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tcPr>
          <w:p w:rsidR="007740C5" w:rsidRPr="00D40DC4" w:rsidRDefault="007740C5" w:rsidP="00EE10BE">
            <w:pPr>
              <w:spacing w:after="0"/>
              <w:rPr>
                <w:rFonts w:cs="Arial"/>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auto"/>
            <w:noWrap/>
          </w:tcPr>
          <w:p w:rsidR="007740C5" w:rsidRPr="00D40DC4" w:rsidRDefault="007740C5" w:rsidP="00EE10BE">
            <w:pPr>
              <w:spacing w:after="0"/>
              <w:rPr>
                <w:rFonts w:cs="Arial"/>
                <w:szCs w:val="20"/>
              </w:rPr>
            </w:pPr>
          </w:p>
        </w:tc>
      </w:tr>
    </w:tbl>
    <w:p w:rsidR="007740C5" w:rsidRPr="00D40DC4" w:rsidRDefault="007740C5" w:rsidP="00221929">
      <w:pPr>
        <w:rPr>
          <w:rFonts w:cs="Arial"/>
        </w:rPr>
      </w:pPr>
    </w:p>
    <w:p w:rsidR="00E65954" w:rsidRPr="00D40DC4" w:rsidRDefault="00E65954" w:rsidP="00DD7E6C">
      <w:pPr>
        <w:pStyle w:val="Cmsor3"/>
      </w:pPr>
      <w:bookmarkStart w:id="1000" w:name="_Toc241657559"/>
      <w:bookmarkStart w:id="1001" w:name="_Toc436923922"/>
      <w:r w:rsidRPr="00D40DC4">
        <w:t>Forgatókönyv-elemzés</w:t>
      </w:r>
      <w:bookmarkEnd w:id="1000"/>
      <w:bookmarkEnd w:id="1001"/>
    </w:p>
    <w:p w:rsidR="00322396" w:rsidRPr="00D40DC4" w:rsidRDefault="00322396" w:rsidP="00221929">
      <w:pPr>
        <w:rPr>
          <w:rFonts w:cs="Arial"/>
        </w:rPr>
      </w:pPr>
      <w:r w:rsidRPr="00D40DC4">
        <w:rPr>
          <w:rFonts w:cs="Arial"/>
        </w:rPr>
        <w:t xml:space="preserve">A változók kritikus csoportjára vonatkozó forgatókönyv elemzés, amely az alapeset mellett az „optimista” és a „pesszimista” változatot </w:t>
      </w:r>
      <w:r w:rsidR="00971400" w:rsidRPr="00D40DC4">
        <w:rPr>
          <w:rFonts w:cs="Arial"/>
        </w:rPr>
        <w:t>vizsgálja,</w:t>
      </w:r>
      <w:r w:rsidRPr="00D40DC4">
        <w:rPr>
          <w:rFonts w:cs="Arial"/>
        </w:rPr>
        <w:t xml:space="preserve"> hasznos információkkal szolgál a projekt megítéléséhez. A forgatókönyv-elemzés egy rövidített, egyszerűsített eljárás, ami nem helyettesíti az érzékenység vizsgálatot és a kockázat-elemzést.</w:t>
      </w:r>
    </w:p>
    <w:p w:rsidR="00322396" w:rsidRPr="00D40DC4" w:rsidRDefault="00322396" w:rsidP="00221929">
      <w:pPr>
        <w:rPr>
          <w:rFonts w:cs="Arial"/>
        </w:rPr>
      </w:pPr>
      <w:r w:rsidRPr="00D40DC4">
        <w:rPr>
          <w:rFonts w:cs="Arial"/>
        </w:rPr>
        <w:t>A forgatókönyv-elemzés lépései:</w:t>
      </w:r>
    </w:p>
    <w:p w:rsidR="00322396" w:rsidRPr="00D40DC4" w:rsidRDefault="00322396" w:rsidP="006C5A6D">
      <w:pPr>
        <w:numPr>
          <w:ilvl w:val="0"/>
          <w:numId w:val="30"/>
        </w:numPr>
      </w:pPr>
      <w:r w:rsidRPr="00D40DC4">
        <w:t>a kritikus változók kiválasztása</w:t>
      </w:r>
      <w:r w:rsidR="00E65954" w:rsidRPr="00D40DC4">
        <w:t>,</w:t>
      </w:r>
    </w:p>
    <w:p w:rsidR="00322396" w:rsidRPr="00D40DC4" w:rsidRDefault="00322396" w:rsidP="006C5A6D">
      <w:pPr>
        <w:numPr>
          <w:ilvl w:val="0"/>
          <w:numId w:val="30"/>
        </w:numPr>
      </w:pPr>
      <w:r w:rsidRPr="00D40DC4">
        <w:t>a kritikus változók esetében az optimista és a pesszimista forgatókönyv esetére becsült értékek meghatározása</w:t>
      </w:r>
      <w:r w:rsidR="00E65954" w:rsidRPr="00D40DC4">
        <w:t>,</w:t>
      </w:r>
    </w:p>
    <w:p w:rsidR="00322396" w:rsidRPr="00D40DC4" w:rsidRDefault="00322396" w:rsidP="006C5A6D">
      <w:pPr>
        <w:numPr>
          <w:ilvl w:val="0"/>
          <w:numId w:val="30"/>
        </w:numPr>
      </w:pPr>
      <w:r w:rsidRPr="00D40DC4">
        <w:t>a teljesítménymutatók kiszámítása az optimista és a pesszimista forgatókönyvre</w:t>
      </w:r>
      <w:r w:rsidR="00E65954" w:rsidRPr="00D40DC4">
        <w:t>.</w:t>
      </w:r>
    </w:p>
    <w:p w:rsidR="00E65954" w:rsidRPr="00D40DC4" w:rsidRDefault="00E65954" w:rsidP="00842EEF">
      <w:pPr>
        <w:rPr>
          <w:rFonts w:cs="Arial"/>
        </w:rPr>
      </w:pPr>
      <w:r w:rsidRPr="00D40DC4">
        <w:t>A forgatókönyv elemzés egy speciális esete, amit akkor kell alkalmazni, ha a saját forrás biztosítása részben hitellel, vagy magánforrás bevonásával történik és ezért a pénzügyi elemzésben alkalmazott pénzügyi diszkont ráta eltér az 4%-tól. Ekkor a pénzügyi elemzést el kell végezni úgy is, hogy a saját forrást hitel nélkül, önerővel biztosítja a kedvezményezett, és ennek felel meg a díj, továbbá a 4%-os pénzügyi diszkont rátát kell alkalmazni.</w:t>
      </w:r>
    </w:p>
    <w:p w:rsidR="00322396" w:rsidRPr="00D40DC4" w:rsidRDefault="00322396" w:rsidP="00DD7E6C">
      <w:pPr>
        <w:pStyle w:val="Cmsor2"/>
      </w:pPr>
      <w:bookmarkStart w:id="1002" w:name="_Toc240012005"/>
      <w:bookmarkStart w:id="1003" w:name="_Toc241657560"/>
      <w:bookmarkStart w:id="1004" w:name="_Toc154282156"/>
      <w:bookmarkStart w:id="1005" w:name="_Toc161562625"/>
      <w:bookmarkStart w:id="1006" w:name="_Toc177825085"/>
      <w:bookmarkStart w:id="1007" w:name="_Toc228260781"/>
      <w:bookmarkStart w:id="1008" w:name="_Ref428192352"/>
      <w:bookmarkStart w:id="1009" w:name="_Ref428258524"/>
      <w:bookmarkStart w:id="1010" w:name="_Toc436923923"/>
      <w:r w:rsidRPr="00D40DC4">
        <w:t>Kockázatelemzés</w:t>
      </w:r>
      <w:bookmarkEnd w:id="1002"/>
      <w:bookmarkEnd w:id="1003"/>
      <w:bookmarkEnd w:id="1004"/>
      <w:bookmarkEnd w:id="1005"/>
      <w:bookmarkEnd w:id="1006"/>
      <w:bookmarkEnd w:id="1007"/>
      <w:bookmarkEnd w:id="1008"/>
      <w:bookmarkEnd w:id="1009"/>
      <w:bookmarkEnd w:id="1010"/>
    </w:p>
    <w:p w:rsidR="00712ABA" w:rsidRPr="00D40DC4" w:rsidRDefault="00212DC5" w:rsidP="00212DC5">
      <w:r w:rsidRPr="00D40DC4">
        <w:t>Az 1303/2013/EU rendelet 101. cikke (1) bekezdésének e) pontjában</w:t>
      </w:r>
      <w:r w:rsidR="00712ABA" w:rsidRPr="00D40DC4">
        <w:t>, valamint a 2015/207/EU végrehajtási rendelet III. mellékletének 2.4 pontjában</w:t>
      </w:r>
      <w:r w:rsidRPr="00D40DC4">
        <w:t xml:space="preserve"> foglaltaknak megfelelően a költség-haszon elemzésnek </w:t>
      </w:r>
      <w:r w:rsidR="00712ABA" w:rsidRPr="00D40DC4">
        <w:t xml:space="preserve">érzékenységvizsgálatot és </w:t>
      </w:r>
      <w:r w:rsidRPr="00D40DC4">
        <w:t>kockázatelemzést is tartalmaznia kell.</w:t>
      </w:r>
    </w:p>
    <w:p w:rsidR="00212DC5" w:rsidRPr="00D40DC4" w:rsidRDefault="00212DC5" w:rsidP="00212DC5">
      <w:r w:rsidRPr="00D40DC4">
        <w:t xml:space="preserve">Erre a beruházási projektek esetén mindig fennálló bizonytalansági tényezők kezelése érdekében van szükség. A kockázatelemzés segítségével a fejlesztő jobban átláthatja, hogy hogyan változhatnak a várható hatások a projekt egyes alapvető változóinak módosulása esetén. Az átfogó kockázatelemzés biztosítja az alapot a megfelelő kockázatkezelési stratégiához, amely a projekt tervezése során játszik fontos szerepet. Különös figyelmet kell fordítani az éghajlatváltozással és a környezettel kapcsolatos szempontokra. </w:t>
      </w:r>
    </w:p>
    <w:p w:rsidR="008C3811" w:rsidRPr="00D40DC4" w:rsidRDefault="008C3811" w:rsidP="00DD7E6C">
      <w:pPr>
        <w:pStyle w:val="Cmsor3"/>
      </w:pPr>
      <w:bookmarkStart w:id="1011" w:name="_Toc428431201"/>
      <w:bookmarkStart w:id="1012" w:name="_Toc428432165"/>
      <w:bookmarkStart w:id="1013" w:name="_Toc428636747"/>
      <w:bookmarkStart w:id="1014" w:name="_Toc428772324"/>
      <w:bookmarkStart w:id="1015" w:name="_Toc436923924"/>
      <w:bookmarkEnd w:id="1011"/>
      <w:bookmarkEnd w:id="1012"/>
      <w:bookmarkEnd w:id="1013"/>
      <w:bookmarkEnd w:id="1014"/>
      <w:r w:rsidRPr="00D40DC4">
        <w:t>Kvalitatív kockázatelemzés</w:t>
      </w:r>
      <w:bookmarkEnd w:id="1015"/>
    </w:p>
    <w:p w:rsidR="00842EEF" w:rsidRPr="00D40DC4" w:rsidRDefault="00842EEF" w:rsidP="00971400">
      <w:r w:rsidRPr="00D40DC4">
        <w:t>A kvalitatív kockázatelemzés a következő elemekből áll:</w:t>
      </w:r>
    </w:p>
    <w:p w:rsidR="00842EEF" w:rsidRPr="00D40DC4" w:rsidRDefault="00842EEF" w:rsidP="006C5A6D">
      <w:pPr>
        <w:numPr>
          <w:ilvl w:val="0"/>
          <w:numId w:val="30"/>
        </w:numPr>
      </w:pPr>
      <w:r w:rsidRPr="00D40DC4">
        <w:t>kockázati események azonosítása,</w:t>
      </w:r>
    </w:p>
    <w:p w:rsidR="00842EEF" w:rsidRPr="00D40DC4" w:rsidRDefault="00842EEF" w:rsidP="006C5A6D">
      <w:pPr>
        <w:numPr>
          <w:ilvl w:val="0"/>
          <w:numId w:val="30"/>
        </w:numPr>
      </w:pPr>
      <w:r w:rsidRPr="00D40DC4">
        <w:t>kockázati mátrix</w:t>
      </w:r>
      <w:r w:rsidR="00BF357B" w:rsidRPr="00D40DC4">
        <w:t xml:space="preserve"> összeállítása</w:t>
      </w:r>
    </w:p>
    <w:p w:rsidR="00F14F7A" w:rsidRPr="00D40DC4" w:rsidRDefault="00F14F7A" w:rsidP="006C5A6D">
      <w:pPr>
        <w:numPr>
          <w:ilvl w:val="1"/>
          <w:numId w:val="30"/>
        </w:numPr>
      </w:pPr>
      <w:r w:rsidRPr="00D40DC4">
        <w:t xml:space="preserve">a kudarc lehetséges okait, </w:t>
      </w:r>
    </w:p>
    <w:p w:rsidR="00F14F7A" w:rsidRPr="00D40DC4" w:rsidRDefault="00F14F7A" w:rsidP="006C5A6D">
      <w:pPr>
        <w:numPr>
          <w:ilvl w:val="1"/>
          <w:numId w:val="30"/>
        </w:numPr>
      </w:pPr>
      <w:r w:rsidRPr="00D40DC4">
        <w:t xml:space="preserve">lehetőség szerint az érzékenységi elemzéssel való összefüggést, </w:t>
      </w:r>
    </w:p>
    <w:p w:rsidR="00F14F7A" w:rsidRPr="00D40DC4" w:rsidRDefault="00F14F7A" w:rsidP="006C5A6D">
      <w:pPr>
        <w:numPr>
          <w:ilvl w:val="1"/>
          <w:numId w:val="30"/>
        </w:numPr>
      </w:pPr>
      <w:r w:rsidRPr="00D40DC4">
        <w:t xml:space="preserve">a projektre gyakorolt negatív hatásokat, </w:t>
      </w:r>
    </w:p>
    <w:p w:rsidR="00F14F7A" w:rsidRPr="00D40DC4" w:rsidRDefault="00F14F7A" w:rsidP="006C5A6D">
      <w:pPr>
        <w:numPr>
          <w:ilvl w:val="1"/>
          <w:numId w:val="30"/>
        </w:numPr>
      </w:pPr>
      <w:r w:rsidRPr="00D40DC4">
        <w:lastRenderedPageBreak/>
        <w:t xml:space="preserve">a hatás bekövetkezésének valószínűségére és annak súlyosságára vonatkozó besorolást (pl. nagyon valószínűtlen, valószínűtlen, nagyjából 50 %-os valószínűségű, valószínű, nagyon valószínű), </w:t>
      </w:r>
    </w:p>
    <w:p w:rsidR="00F14F7A" w:rsidRPr="00D40DC4" w:rsidRDefault="00F14F7A" w:rsidP="006C5A6D">
      <w:pPr>
        <w:numPr>
          <w:ilvl w:val="1"/>
          <w:numId w:val="30"/>
        </w:numPr>
      </w:pPr>
      <w:r w:rsidRPr="00D40DC4">
        <w:t xml:space="preserve">a kockázat mértékét (a valószínűség és a hatás együttese). </w:t>
      </w:r>
    </w:p>
    <w:p w:rsidR="00F14F7A" w:rsidRPr="00D40DC4" w:rsidRDefault="00F14F7A" w:rsidP="006C5A6D">
      <w:pPr>
        <w:numPr>
          <w:ilvl w:val="1"/>
          <w:numId w:val="30"/>
        </w:numPr>
      </w:pPr>
      <w:r w:rsidRPr="00D40DC4">
        <w:t xml:space="preserve">a megelőzést és mérséklést szolgáló intézkedések meghatározása, beleértve a fő kockázatok megelőzéséért és mérsékléséért felelős szervezetet, megfelelő esetben a szokásos eljárásokat, lehetőség szerint figyelembe véve a kockázatoknak való kitettség csökkentésére alkalmazott bevált gyakorlatokat. </w:t>
      </w:r>
    </w:p>
    <w:p w:rsidR="00F14F7A" w:rsidRPr="00D40DC4" w:rsidRDefault="00F14F7A" w:rsidP="006C5A6D">
      <w:pPr>
        <w:numPr>
          <w:ilvl w:val="0"/>
          <w:numId w:val="30"/>
        </w:numPr>
      </w:pPr>
      <w:r w:rsidRPr="00D40DC4">
        <w:t>a kockázati mátrix értelmezése, beleértve a kockázatmérséklési és -megelőzési intézkedések alkalmazását követően fennmaradó kockázatok értékelését:</w:t>
      </w:r>
    </w:p>
    <w:p w:rsidR="00842EEF" w:rsidRPr="00D40DC4" w:rsidRDefault="00842EEF" w:rsidP="006C5A6D">
      <w:pPr>
        <w:numPr>
          <w:ilvl w:val="0"/>
          <w:numId w:val="30"/>
        </w:numPr>
      </w:pPr>
      <w:r w:rsidRPr="00D40DC4">
        <w:t>a kockázatokat megelőző illetve mérséklő intézkedések bemutatása</w:t>
      </w:r>
    </w:p>
    <w:p w:rsidR="00ED454A" w:rsidRPr="00D40DC4" w:rsidRDefault="00842EEF" w:rsidP="00842EEF">
      <w:pPr>
        <w:sectPr w:rsidR="00ED454A" w:rsidRPr="00D40DC4" w:rsidSect="00EF313B">
          <w:footerReference w:type="first" r:id="rId31"/>
          <w:pgSz w:w="11906" w:h="16838"/>
          <w:pgMar w:top="1417" w:right="1417" w:bottom="1417" w:left="1417" w:header="708" w:footer="827" w:gutter="0"/>
          <w:cols w:space="708"/>
          <w:titlePg/>
          <w:docGrid w:linePitch="360"/>
        </w:sectPr>
      </w:pPr>
      <w:r w:rsidRPr="00D40DC4">
        <w:t>A kvalitatív kockázat elemzés készítésekor elterjedt jó gyakorlatnak tekinthető a lehetséges káros események listázása, ezáltal is felmérve a projekt komplexitását. Kockázatnak tekinthető bármi olyan esemény, mely költségtúllépést vagy csúszást okoz a kivitelezésben – például a szükséges engedélyek kiadásának csúszása, rendkívüli időjárás, civilek tiltakozása stb. A 2015/207EU rendelet 2.4. 2. táblázata tartalmaz egy listát tipikus egyedi kockázatokról.</w:t>
      </w:r>
    </w:p>
    <w:p w:rsidR="00ED454A" w:rsidRPr="00D40DC4" w:rsidRDefault="00ED454A" w:rsidP="00ED454A">
      <w:r w:rsidRPr="00D40DC4">
        <w:lastRenderedPageBreak/>
        <w:t>A projekt potenciális kockázati eseményeinek felmérése alapján felépíthető a kockázati mátrix. A mátrix többi oszlopának részletes bemutatása alább található.</w:t>
      </w:r>
    </w:p>
    <w:p w:rsidR="00ED454A" w:rsidRPr="00D40DC4" w:rsidRDefault="002C4DE0" w:rsidP="00D20F91">
      <w:pPr>
        <w:pStyle w:val="Tblzat"/>
      </w:pPr>
      <w:r>
        <w:fldChar w:fldCharType="begin"/>
      </w:r>
      <w:r>
        <w:instrText xml:space="preserve"> SEQ táblázat \* ARABIC </w:instrText>
      </w:r>
      <w:r>
        <w:fldChar w:fldCharType="separate"/>
      </w:r>
      <w:bookmarkStart w:id="1016" w:name="_Toc436923969"/>
      <w:r w:rsidR="007B4938" w:rsidRPr="00D40DC4">
        <w:rPr>
          <w:noProof/>
        </w:rPr>
        <w:t>36</w:t>
      </w:r>
      <w:r>
        <w:rPr>
          <w:noProof/>
        </w:rPr>
        <w:fldChar w:fldCharType="end"/>
      </w:r>
      <w:r w:rsidR="00ED454A" w:rsidRPr="00D40DC4">
        <w:t>. táblázat: A kockázatok bemutatása és értékelése</w:t>
      </w:r>
      <w:bookmarkEnd w:id="10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1"/>
        <w:gridCol w:w="2829"/>
        <w:gridCol w:w="1697"/>
        <w:gridCol w:w="1697"/>
        <w:gridCol w:w="2122"/>
        <w:gridCol w:w="1556"/>
        <w:gridCol w:w="2122"/>
      </w:tblGrid>
      <w:tr w:rsidR="00ED454A" w:rsidRPr="00D40DC4" w:rsidTr="00670C1D">
        <w:trPr>
          <w:trHeight w:val="255"/>
          <w:tblHeader/>
        </w:trPr>
        <w:tc>
          <w:tcPr>
            <w:tcW w:w="750" w:type="pct"/>
            <w:shd w:val="clear" w:color="auto" w:fill="99CCFF"/>
            <w:noWrap/>
            <w:vAlign w:val="center"/>
          </w:tcPr>
          <w:p w:rsidR="00ED454A" w:rsidRPr="00D40DC4" w:rsidRDefault="00ED454A" w:rsidP="00670C1D">
            <w:pPr>
              <w:spacing w:after="0"/>
              <w:jc w:val="center"/>
              <w:rPr>
                <w:rFonts w:cs="Arial"/>
                <w:b/>
                <w:szCs w:val="20"/>
              </w:rPr>
            </w:pPr>
            <w:r w:rsidRPr="00D40DC4">
              <w:rPr>
                <w:rFonts w:cs="Arial"/>
                <w:b/>
                <w:szCs w:val="20"/>
              </w:rPr>
              <w:t>Kockázati esemény neve</w:t>
            </w:r>
          </w:p>
        </w:tc>
        <w:tc>
          <w:tcPr>
            <w:tcW w:w="1000" w:type="pct"/>
            <w:shd w:val="clear" w:color="auto" w:fill="99CCFF"/>
            <w:vAlign w:val="center"/>
          </w:tcPr>
          <w:p w:rsidR="00ED454A" w:rsidRPr="00D40DC4" w:rsidRDefault="00ED454A" w:rsidP="00670C1D">
            <w:pPr>
              <w:spacing w:after="0"/>
              <w:jc w:val="center"/>
              <w:rPr>
                <w:rFonts w:cs="Arial"/>
                <w:b/>
                <w:szCs w:val="20"/>
              </w:rPr>
            </w:pPr>
            <w:r w:rsidRPr="00D40DC4">
              <w:rPr>
                <w:rFonts w:cs="Arial"/>
                <w:b/>
                <w:szCs w:val="20"/>
              </w:rPr>
              <w:t>Kockázat bekövetkezésének hatása</w:t>
            </w:r>
            <w:r w:rsidRPr="00D40DC4">
              <w:rPr>
                <w:rFonts w:cs="Arial"/>
                <w:szCs w:val="20"/>
                <w:vertAlign w:val="superscript"/>
              </w:rPr>
              <w:footnoteReference w:id="18"/>
            </w:r>
          </w:p>
        </w:tc>
        <w:tc>
          <w:tcPr>
            <w:tcW w:w="600" w:type="pct"/>
            <w:shd w:val="clear" w:color="auto" w:fill="99CCFF"/>
            <w:vAlign w:val="center"/>
          </w:tcPr>
          <w:p w:rsidR="00ED454A" w:rsidRPr="00D40DC4" w:rsidRDefault="00ED454A" w:rsidP="00670C1D">
            <w:pPr>
              <w:spacing w:after="0"/>
              <w:jc w:val="center"/>
              <w:rPr>
                <w:rFonts w:cs="Arial"/>
                <w:b/>
                <w:szCs w:val="20"/>
              </w:rPr>
            </w:pPr>
            <w:r w:rsidRPr="00D40DC4">
              <w:rPr>
                <w:rFonts w:cs="Arial"/>
                <w:b/>
                <w:szCs w:val="20"/>
              </w:rPr>
              <w:t>Bekövetkezés valószínűsége</w:t>
            </w:r>
            <w:r w:rsidRPr="00D40DC4">
              <w:rPr>
                <w:rFonts w:cs="Arial"/>
                <w:szCs w:val="20"/>
                <w:vertAlign w:val="superscript"/>
              </w:rPr>
              <w:footnoteReference w:id="19"/>
            </w:r>
          </w:p>
        </w:tc>
        <w:tc>
          <w:tcPr>
            <w:tcW w:w="600" w:type="pct"/>
            <w:shd w:val="clear" w:color="auto" w:fill="99CCFF"/>
            <w:noWrap/>
            <w:vAlign w:val="center"/>
          </w:tcPr>
          <w:p w:rsidR="00ED454A" w:rsidRPr="00D40DC4" w:rsidRDefault="00ED454A" w:rsidP="00670C1D">
            <w:pPr>
              <w:spacing w:after="0"/>
              <w:jc w:val="center"/>
              <w:rPr>
                <w:rFonts w:cs="Arial"/>
                <w:b/>
                <w:szCs w:val="20"/>
              </w:rPr>
            </w:pPr>
            <w:r w:rsidRPr="00D40DC4">
              <w:rPr>
                <w:rFonts w:cs="Arial"/>
                <w:b/>
                <w:szCs w:val="20"/>
              </w:rPr>
              <w:t>Bekövetkezés hatásának mértéke</w:t>
            </w:r>
            <w:r w:rsidRPr="00D40DC4">
              <w:rPr>
                <w:rFonts w:cs="Arial"/>
                <w:szCs w:val="20"/>
                <w:vertAlign w:val="superscript"/>
              </w:rPr>
              <w:footnoteReference w:id="20"/>
            </w:r>
          </w:p>
        </w:tc>
        <w:tc>
          <w:tcPr>
            <w:tcW w:w="750" w:type="pct"/>
            <w:shd w:val="clear" w:color="auto" w:fill="99CCFF"/>
            <w:vAlign w:val="center"/>
          </w:tcPr>
          <w:p w:rsidR="00ED454A" w:rsidRPr="00D40DC4" w:rsidRDefault="00ED454A" w:rsidP="00670C1D">
            <w:pPr>
              <w:spacing w:after="0"/>
              <w:jc w:val="center"/>
              <w:rPr>
                <w:rFonts w:cs="Arial"/>
                <w:b/>
                <w:szCs w:val="20"/>
              </w:rPr>
            </w:pPr>
            <w:r w:rsidRPr="00D40DC4">
              <w:rPr>
                <w:rFonts w:cs="Arial"/>
                <w:b/>
                <w:szCs w:val="20"/>
              </w:rPr>
              <w:t>Kockázat szintje</w:t>
            </w:r>
            <w:r w:rsidRPr="00D40DC4">
              <w:rPr>
                <w:rFonts w:cs="Arial"/>
                <w:szCs w:val="20"/>
                <w:vertAlign w:val="superscript"/>
              </w:rPr>
              <w:footnoteReference w:id="21"/>
            </w:r>
          </w:p>
        </w:tc>
        <w:tc>
          <w:tcPr>
            <w:tcW w:w="160" w:type="dxa"/>
            <w:shd w:val="clear" w:color="auto" w:fill="99CCFF"/>
            <w:noWrap/>
            <w:vAlign w:val="center"/>
          </w:tcPr>
          <w:p w:rsidR="00ED454A" w:rsidRPr="00D40DC4" w:rsidRDefault="00ED454A" w:rsidP="00670C1D">
            <w:pPr>
              <w:spacing w:after="0"/>
              <w:jc w:val="center"/>
              <w:rPr>
                <w:rFonts w:cs="Arial"/>
                <w:b/>
                <w:szCs w:val="20"/>
              </w:rPr>
            </w:pPr>
            <w:r w:rsidRPr="00D40DC4">
              <w:rPr>
                <w:rFonts w:cs="Arial"/>
                <w:b/>
                <w:szCs w:val="20"/>
              </w:rPr>
              <w:t>Mérséklési- és megelőzési intézkedések</w:t>
            </w:r>
            <w:r w:rsidRPr="00D40DC4">
              <w:rPr>
                <w:rFonts w:cs="Arial"/>
                <w:szCs w:val="20"/>
                <w:vertAlign w:val="superscript"/>
              </w:rPr>
              <w:footnoteReference w:id="22"/>
            </w:r>
          </w:p>
        </w:tc>
        <w:tc>
          <w:tcPr>
            <w:tcW w:w="750" w:type="pct"/>
            <w:shd w:val="clear" w:color="auto" w:fill="99CCFF"/>
            <w:noWrap/>
            <w:vAlign w:val="center"/>
          </w:tcPr>
          <w:p w:rsidR="00ED454A" w:rsidRPr="00D40DC4" w:rsidRDefault="00ED454A" w:rsidP="00670C1D">
            <w:pPr>
              <w:spacing w:after="0"/>
              <w:jc w:val="center"/>
              <w:rPr>
                <w:rFonts w:cs="Arial"/>
                <w:b/>
                <w:szCs w:val="20"/>
              </w:rPr>
            </w:pPr>
            <w:r w:rsidRPr="00D40DC4">
              <w:rPr>
                <w:rFonts w:cs="Arial"/>
                <w:b/>
                <w:szCs w:val="20"/>
              </w:rPr>
              <w:t>Fennmaradó kockázat szintje</w:t>
            </w:r>
            <w:r w:rsidRPr="00D40DC4">
              <w:rPr>
                <w:rFonts w:cs="Arial"/>
                <w:szCs w:val="20"/>
                <w:vertAlign w:val="superscript"/>
              </w:rPr>
              <w:footnoteReference w:id="23"/>
            </w:r>
          </w:p>
        </w:tc>
      </w:tr>
      <w:tr w:rsidR="00ED454A" w:rsidRPr="00D40DC4" w:rsidTr="00670C1D">
        <w:trPr>
          <w:trHeight w:val="255"/>
          <w:tblHeader/>
        </w:trPr>
        <w:tc>
          <w:tcPr>
            <w:tcW w:w="13994" w:type="dxa"/>
            <w:gridSpan w:val="7"/>
            <w:shd w:val="clear" w:color="auto" w:fill="auto"/>
            <w:noWrap/>
          </w:tcPr>
          <w:p w:rsidR="00ED454A" w:rsidRPr="00D40DC4" w:rsidRDefault="00ED454A" w:rsidP="00670C1D">
            <w:pPr>
              <w:spacing w:after="0"/>
              <w:rPr>
                <w:rFonts w:cs="Arial"/>
                <w:b/>
                <w:szCs w:val="20"/>
              </w:rPr>
            </w:pPr>
            <w:r w:rsidRPr="00D40DC4">
              <w:rPr>
                <w:rFonts w:cs="Arial"/>
                <w:b/>
                <w:szCs w:val="20"/>
              </w:rPr>
              <w:t>Kockázati csoport 1.</w:t>
            </w: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13994" w:type="dxa"/>
            <w:gridSpan w:val="7"/>
            <w:shd w:val="clear" w:color="auto" w:fill="auto"/>
            <w:noWrap/>
          </w:tcPr>
          <w:p w:rsidR="00ED454A" w:rsidRPr="00D40DC4" w:rsidRDefault="00ED454A" w:rsidP="00670C1D">
            <w:pPr>
              <w:spacing w:after="0"/>
              <w:rPr>
                <w:rFonts w:cs="Arial"/>
                <w:b/>
                <w:szCs w:val="20"/>
              </w:rPr>
            </w:pPr>
            <w:r w:rsidRPr="00D40DC4">
              <w:rPr>
                <w:rFonts w:cs="Arial"/>
                <w:b/>
                <w:szCs w:val="20"/>
              </w:rPr>
              <w:t>Kockázati csoport 2.</w:t>
            </w: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13994" w:type="dxa"/>
            <w:gridSpan w:val="7"/>
            <w:shd w:val="clear" w:color="auto" w:fill="auto"/>
            <w:noWrap/>
          </w:tcPr>
          <w:p w:rsidR="00ED454A" w:rsidRPr="00D40DC4" w:rsidRDefault="00ED454A" w:rsidP="00670C1D">
            <w:pPr>
              <w:spacing w:after="0"/>
              <w:rPr>
                <w:rFonts w:cs="Arial"/>
                <w:b/>
                <w:szCs w:val="20"/>
              </w:rPr>
            </w:pPr>
            <w:r w:rsidRPr="00D40DC4">
              <w:rPr>
                <w:rFonts w:cs="Arial"/>
                <w:b/>
                <w:szCs w:val="20"/>
              </w:rPr>
              <w:t>Kockázati csoport 3.</w:t>
            </w: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r w:rsidR="00ED454A" w:rsidRPr="00D40DC4" w:rsidTr="00670C1D">
        <w:trPr>
          <w:trHeight w:val="255"/>
          <w:tblHeader/>
        </w:trPr>
        <w:tc>
          <w:tcPr>
            <w:tcW w:w="750" w:type="pct"/>
            <w:shd w:val="clear" w:color="auto" w:fill="auto"/>
            <w:noWrap/>
          </w:tcPr>
          <w:p w:rsidR="00ED454A" w:rsidRPr="00D40DC4" w:rsidRDefault="00ED454A" w:rsidP="006F2748">
            <w:pPr>
              <w:numPr>
                <w:ilvl w:val="0"/>
                <w:numId w:val="51"/>
              </w:numPr>
            </w:pPr>
            <w:r w:rsidRPr="00D40DC4">
              <w:t>kockázati tényező</w:t>
            </w:r>
          </w:p>
        </w:tc>
        <w:tc>
          <w:tcPr>
            <w:tcW w:w="1000" w:type="pct"/>
            <w:shd w:val="clear" w:color="auto" w:fill="auto"/>
          </w:tcPr>
          <w:p w:rsidR="00ED454A" w:rsidRPr="00D40DC4" w:rsidRDefault="00ED454A" w:rsidP="00670C1D">
            <w:pPr>
              <w:spacing w:after="0"/>
              <w:rPr>
                <w:rFonts w:cs="Arial"/>
                <w:szCs w:val="20"/>
              </w:rPr>
            </w:pPr>
          </w:p>
        </w:tc>
        <w:tc>
          <w:tcPr>
            <w:tcW w:w="600" w:type="pct"/>
            <w:shd w:val="clear" w:color="auto" w:fill="auto"/>
          </w:tcPr>
          <w:p w:rsidR="00ED454A" w:rsidRPr="00D40DC4" w:rsidRDefault="00ED454A" w:rsidP="00670C1D">
            <w:pPr>
              <w:spacing w:after="0"/>
              <w:rPr>
                <w:rFonts w:cs="Arial"/>
                <w:szCs w:val="20"/>
              </w:rPr>
            </w:pPr>
          </w:p>
        </w:tc>
        <w:tc>
          <w:tcPr>
            <w:tcW w:w="600" w:type="pct"/>
            <w:shd w:val="clear" w:color="auto" w:fill="auto"/>
            <w:noWrap/>
          </w:tcPr>
          <w:p w:rsidR="00ED454A" w:rsidRPr="00D40DC4" w:rsidRDefault="00ED454A" w:rsidP="00670C1D">
            <w:pPr>
              <w:spacing w:after="0"/>
              <w:rPr>
                <w:rFonts w:cs="Arial"/>
                <w:szCs w:val="20"/>
              </w:rPr>
            </w:pPr>
          </w:p>
        </w:tc>
        <w:tc>
          <w:tcPr>
            <w:tcW w:w="750" w:type="pct"/>
            <w:shd w:val="clear" w:color="auto" w:fill="auto"/>
          </w:tcPr>
          <w:p w:rsidR="00ED454A" w:rsidRPr="00D40DC4" w:rsidRDefault="00ED454A" w:rsidP="00670C1D">
            <w:pPr>
              <w:spacing w:after="0"/>
              <w:rPr>
                <w:rFonts w:cs="Arial"/>
                <w:szCs w:val="20"/>
              </w:rPr>
            </w:pPr>
          </w:p>
        </w:tc>
        <w:tc>
          <w:tcPr>
            <w:tcW w:w="160" w:type="dxa"/>
            <w:shd w:val="clear" w:color="auto" w:fill="auto"/>
            <w:noWrap/>
          </w:tcPr>
          <w:p w:rsidR="00ED454A" w:rsidRPr="00D40DC4" w:rsidRDefault="00ED454A" w:rsidP="00670C1D">
            <w:pPr>
              <w:spacing w:after="0"/>
              <w:rPr>
                <w:rFonts w:cs="Arial"/>
                <w:szCs w:val="20"/>
              </w:rPr>
            </w:pPr>
          </w:p>
        </w:tc>
        <w:tc>
          <w:tcPr>
            <w:tcW w:w="750" w:type="pct"/>
            <w:shd w:val="clear" w:color="auto" w:fill="auto"/>
            <w:noWrap/>
          </w:tcPr>
          <w:p w:rsidR="00ED454A" w:rsidRPr="00D40DC4" w:rsidRDefault="00ED454A" w:rsidP="00670C1D">
            <w:pPr>
              <w:spacing w:after="0"/>
              <w:rPr>
                <w:rFonts w:cs="Arial"/>
                <w:szCs w:val="20"/>
              </w:rPr>
            </w:pPr>
          </w:p>
        </w:tc>
      </w:tr>
    </w:tbl>
    <w:p w:rsidR="00ED454A" w:rsidRPr="00D40DC4" w:rsidRDefault="00ED454A" w:rsidP="00842EEF"/>
    <w:p w:rsidR="00ED454A" w:rsidRPr="00D40DC4" w:rsidRDefault="00ED454A" w:rsidP="00842EEF">
      <w:pPr>
        <w:sectPr w:rsidR="00ED454A" w:rsidRPr="00D40DC4" w:rsidSect="00EF313B">
          <w:pgSz w:w="16838" w:h="11906" w:orient="landscape"/>
          <w:pgMar w:top="1417" w:right="1417" w:bottom="1417" w:left="1417" w:header="708" w:footer="851" w:gutter="0"/>
          <w:cols w:space="708"/>
          <w:titlePg/>
          <w:docGrid w:linePitch="360"/>
        </w:sectPr>
      </w:pPr>
    </w:p>
    <w:p w:rsidR="00842EEF" w:rsidRPr="00D40DC4" w:rsidRDefault="00842EEF" w:rsidP="00842EEF">
      <w:r w:rsidRPr="00D40DC4">
        <w:lastRenderedPageBreak/>
        <w:t xml:space="preserve">Azonosítani és elemezni kell valamennyi kockázati esemény összes potenciális okát, figyelembe véve azt is, hogy az előrejelzés, tervezés és/vagy </w:t>
      </w:r>
      <w:r w:rsidR="00BF357B" w:rsidRPr="00D40DC4">
        <w:t xml:space="preserve">a </w:t>
      </w:r>
      <w:r w:rsidRPr="00D40DC4">
        <w:t xml:space="preserve">menedzsment néhány hibája hasonló negatív következményekkel járhat. </w:t>
      </w:r>
      <w:r w:rsidR="00BF357B" w:rsidRPr="00D40DC4">
        <w:t>Az egyedi kockázati események</w:t>
      </w:r>
      <w:r w:rsidRPr="00D40DC4">
        <w:t xml:space="preserve"> várható hatását</w:t>
      </w:r>
      <w:r w:rsidR="00BF357B" w:rsidRPr="00D40DC4">
        <w:t xml:space="preserve"> is meg kell határozni –</w:t>
      </w:r>
      <w:r w:rsidRPr="00D40DC4">
        <w:t xml:space="preserve"> ez történhet </w:t>
      </w:r>
      <w:r w:rsidRPr="00D40DC4">
        <w:rPr>
          <w:i/>
        </w:rPr>
        <w:t>ad hoc</w:t>
      </w:r>
      <w:r w:rsidRPr="00D40DC4">
        <w:t xml:space="preserve"> módon illetve a múltbeli tapasztalatok alapján.</w:t>
      </w:r>
    </w:p>
    <w:p w:rsidR="00842EEF" w:rsidRPr="00D40DC4" w:rsidRDefault="00842EEF" w:rsidP="00842EEF">
      <w:r w:rsidRPr="00D40DC4">
        <w:t>Valamennyi kockázati eseménynél szükséges annak meghatározása, hogy az milyen hatással van a projekt pénzáramaira. A mátrix készítésekor, amennyiben lehetséges, figyelembe kell venni az érzékenységvizsgálat eredményeit, bemutatva, a kockázati esemény mely kritikus változóra gyakorolt hatást – például a munkaterületen talált régészeti leletek a beruházási költség növekedését okozhatják.</w:t>
      </w:r>
    </w:p>
    <w:p w:rsidR="00BF357B" w:rsidRPr="00D40DC4" w:rsidRDefault="00842EEF" w:rsidP="00842EEF">
      <w:r w:rsidRPr="00D40DC4">
        <w:t>Valamennyi kockázati eseményhez hozzá kell rendelni a hatás súlyosságát is – ezt, hasonlóan a bekövetkezési valószínűséghez, 3-5 fokozatú skálán szokásos besorolni, ahol az első kategória a „nem jelent kockázatot”, míg az utolsó a „súlyos, esetenként funkcióvesztést okoz a projekt kivitelezésében/működésében”</w:t>
      </w:r>
      <w:r w:rsidR="00BF357B" w:rsidRPr="00D40DC4">
        <w:t>.</w:t>
      </w:r>
    </w:p>
    <w:p w:rsidR="00282BFA" w:rsidRPr="00D40DC4" w:rsidRDefault="002C4DE0" w:rsidP="00D20F91">
      <w:pPr>
        <w:pStyle w:val="Tblzat"/>
      </w:pPr>
      <w:r>
        <w:fldChar w:fldCharType="begin"/>
      </w:r>
      <w:r>
        <w:instrText xml:space="preserve"> SEQ táblázat \* ARABIC </w:instrText>
      </w:r>
      <w:r>
        <w:fldChar w:fldCharType="separate"/>
      </w:r>
      <w:bookmarkStart w:id="1017" w:name="_Ref428198618"/>
      <w:bookmarkStart w:id="1018" w:name="_Toc436923970"/>
      <w:r w:rsidR="007B4938" w:rsidRPr="00D40DC4">
        <w:rPr>
          <w:noProof/>
        </w:rPr>
        <w:t>37</w:t>
      </w:r>
      <w:bookmarkEnd w:id="1017"/>
      <w:r>
        <w:rPr>
          <w:noProof/>
        </w:rPr>
        <w:fldChar w:fldCharType="end"/>
      </w:r>
      <w:r w:rsidR="00282BFA" w:rsidRPr="00D40DC4">
        <w:t>. táblázat: A kockázati események lehetséges hatásának kategóriái</w:t>
      </w:r>
      <w:bookmarkEnd w:id="1018"/>
    </w:p>
    <w:tbl>
      <w:tblPr>
        <w:tblW w:w="5000" w:type="pct"/>
        <w:tblCellMar>
          <w:left w:w="70" w:type="dxa"/>
          <w:right w:w="70" w:type="dxa"/>
        </w:tblCellMar>
        <w:tblLook w:val="0000" w:firstRow="0" w:lastRow="0" w:firstColumn="0" w:lastColumn="0" w:noHBand="0" w:noVBand="0"/>
      </w:tblPr>
      <w:tblGrid>
        <w:gridCol w:w="1675"/>
        <w:gridCol w:w="7537"/>
      </w:tblGrid>
      <w:tr w:rsidR="00282BFA" w:rsidRPr="00D40DC4" w:rsidTr="00282BFA">
        <w:trPr>
          <w:trHeight w:val="255"/>
          <w:tblHeader/>
        </w:trPr>
        <w:tc>
          <w:tcPr>
            <w:tcW w:w="857"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282BFA" w:rsidRPr="00D40DC4" w:rsidRDefault="00282BFA" w:rsidP="00A3267A">
            <w:pPr>
              <w:spacing w:after="0"/>
              <w:jc w:val="center"/>
              <w:rPr>
                <w:rFonts w:cs="Arial"/>
                <w:b/>
                <w:szCs w:val="20"/>
              </w:rPr>
            </w:pPr>
            <w:r w:rsidRPr="00D40DC4">
              <w:rPr>
                <w:rFonts w:cs="Arial"/>
                <w:b/>
                <w:szCs w:val="20"/>
              </w:rPr>
              <w:t>Bekövetkezés hatásának mértéke</w:t>
            </w:r>
          </w:p>
        </w:tc>
        <w:tc>
          <w:tcPr>
            <w:tcW w:w="4143" w:type="pct"/>
            <w:tcBorders>
              <w:top w:val="single" w:sz="4" w:space="0" w:color="auto"/>
              <w:left w:val="nil"/>
              <w:bottom w:val="single" w:sz="4" w:space="0" w:color="auto"/>
              <w:right w:val="single" w:sz="4" w:space="0" w:color="auto"/>
            </w:tcBorders>
            <w:shd w:val="clear" w:color="auto" w:fill="99CCFF"/>
            <w:noWrap/>
            <w:vAlign w:val="center"/>
          </w:tcPr>
          <w:p w:rsidR="00282BFA" w:rsidRPr="00D40DC4" w:rsidRDefault="00282BFA" w:rsidP="00A3267A">
            <w:pPr>
              <w:spacing w:after="0"/>
              <w:jc w:val="center"/>
              <w:rPr>
                <w:rFonts w:cs="Arial"/>
                <w:b/>
                <w:szCs w:val="20"/>
              </w:rPr>
            </w:pPr>
            <w:r w:rsidRPr="00D40DC4">
              <w:rPr>
                <w:rFonts w:cs="Arial"/>
                <w:b/>
                <w:szCs w:val="20"/>
              </w:rPr>
              <w:t>A hatás mértékének definiálása</w:t>
            </w:r>
          </w:p>
        </w:tc>
      </w:tr>
      <w:tr w:rsidR="00ED454A" w:rsidRPr="00D40DC4" w:rsidTr="00670C1D">
        <w:trPr>
          <w:trHeight w:val="255"/>
        </w:trPr>
        <w:tc>
          <w:tcPr>
            <w:tcW w:w="857" w:type="pct"/>
            <w:tcBorders>
              <w:top w:val="nil"/>
              <w:left w:val="single" w:sz="4" w:space="0" w:color="auto"/>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I – elhanyagolható hatású</w:t>
            </w:r>
          </w:p>
        </w:tc>
        <w:tc>
          <w:tcPr>
            <w:tcW w:w="4143" w:type="pct"/>
            <w:tcBorders>
              <w:top w:val="nil"/>
              <w:left w:val="nil"/>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Akár egyéb intézkedések nélkül sincs jelentős hatás.</w:t>
            </w:r>
          </w:p>
        </w:tc>
      </w:tr>
      <w:tr w:rsidR="00ED454A" w:rsidRPr="00D40DC4" w:rsidTr="00670C1D">
        <w:trPr>
          <w:trHeight w:val="255"/>
        </w:trPr>
        <w:tc>
          <w:tcPr>
            <w:tcW w:w="857" w:type="pct"/>
            <w:tcBorders>
              <w:top w:val="nil"/>
              <w:left w:val="single" w:sz="4" w:space="0" w:color="auto"/>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II – kis hatású</w:t>
            </w:r>
          </w:p>
        </w:tc>
        <w:tc>
          <w:tcPr>
            <w:tcW w:w="4143" w:type="pct"/>
            <w:tcBorders>
              <w:top w:val="nil"/>
              <w:left w:val="nil"/>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Kismértékű társadalmi-gazdasági károk, melyek minimálisan érintik a projekt hosszú távú hatásait. Korrekciós intézkedések szükségesek.</w:t>
            </w:r>
          </w:p>
        </w:tc>
      </w:tr>
      <w:tr w:rsidR="00ED454A" w:rsidRPr="00D40DC4" w:rsidTr="00670C1D">
        <w:trPr>
          <w:trHeight w:val="255"/>
        </w:trPr>
        <w:tc>
          <w:tcPr>
            <w:tcW w:w="857" w:type="pct"/>
            <w:tcBorders>
              <w:top w:val="nil"/>
              <w:left w:val="single" w:sz="4" w:space="0" w:color="auto"/>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III – mérsékelt hatású</w:t>
            </w:r>
          </w:p>
        </w:tc>
        <w:tc>
          <w:tcPr>
            <w:tcW w:w="4143" w:type="pct"/>
            <w:tcBorders>
              <w:top w:val="nil"/>
              <w:left w:val="nil"/>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Mérsékelt társadalmi-gazdasági károk, főként pénzügyi jellegű problémák, akár közép- ill. hosszú távon. Javító intézkedések korrigálhatják a problémát.</w:t>
            </w:r>
          </w:p>
        </w:tc>
      </w:tr>
      <w:tr w:rsidR="00ED454A" w:rsidRPr="00D40DC4" w:rsidTr="00670C1D">
        <w:trPr>
          <w:trHeight w:val="255"/>
        </w:trPr>
        <w:tc>
          <w:tcPr>
            <w:tcW w:w="857" w:type="pct"/>
            <w:tcBorders>
              <w:top w:val="nil"/>
              <w:left w:val="single" w:sz="4" w:space="0" w:color="auto"/>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IV – kritikus hatású</w:t>
            </w:r>
          </w:p>
        </w:tc>
        <w:tc>
          <w:tcPr>
            <w:tcW w:w="4143" w:type="pct"/>
            <w:tcBorders>
              <w:top w:val="nil"/>
              <w:left w:val="nil"/>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Jelentős társadalmi-gazdasági károk; a kockázat megjelenése a projekt fő funkciójában okoz károkat. Akár komoly javító intézkedések sem elegendőek a károk elkerülésére.</w:t>
            </w:r>
          </w:p>
        </w:tc>
      </w:tr>
      <w:tr w:rsidR="00ED454A" w:rsidRPr="00D40DC4" w:rsidTr="00670C1D">
        <w:trPr>
          <w:trHeight w:val="255"/>
        </w:trPr>
        <w:tc>
          <w:tcPr>
            <w:tcW w:w="857" w:type="pct"/>
            <w:tcBorders>
              <w:top w:val="nil"/>
              <w:left w:val="single" w:sz="4" w:space="0" w:color="auto"/>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V – katasztrofális hatású</w:t>
            </w:r>
          </w:p>
        </w:tc>
        <w:tc>
          <w:tcPr>
            <w:tcW w:w="4143" w:type="pct"/>
            <w:tcBorders>
              <w:top w:val="nil"/>
              <w:left w:val="nil"/>
              <w:bottom w:val="single" w:sz="4" w:space="0" w:color="auto"/>
              <w:right w:val="single" w:sz="4" w:space="0" w:color="auto"/>
            </w:tcBorders>
            <w:shd w:val="clear" w:color="auto" w:fill="auto"/>
            <w:noWrap/>
            <w:vAlign w:val="center"/>
          </w:tcPr>
          <w:p w:rsidR="00ED454A" w:rsidRPr="00D40DC4" w:rsidRDefault="00ED454A" w:rsidP="00ED454A">
            <w:pPr>
              <w:spacing w:after="0"/>
              <w:rPr>
                <w:rFonts w:cs="Arial"/>
                <w:szCs w:val="20"/>
              </w:rPr>
            </w:pPr>
            <w:r w:rsidRPr="00D40DC4">
              <w:rPr>
                <w:rFonts w:cs="Arial"/>
                <w:szCs w:val="20"/>
              </w:rPr>
              <w:t>A projekt kudarca, mely súlyos vagy akár teljes mértékben károsíthatja a projekt funkcióját. A projekt fő hatásai közép- ill. hosszú távon nem jelentkeznek.</w:t>
            </w:r>
          </w:p>
        </w:tc>
      </w:tr>
    </w:tbl>
    <w:p w:rsidR="00ED454A" w:rsidRPr="00D40DC4" w:rsidRDefault="00ED454A" w:rsidP="00282BFA"/>
    <w:p w:rsidR="00282BFA" w:rsidRPr="00D40DC4" w:rsidRDefault="00ED454A" w:rsidP="00282BFA">
      <w:r w:rsidRPr="00D40DC4">
        <w:t>A kockázati események elemzésekor szükséges</w:t>
      </w:r>
      <w:r w:rsidR="00282BFA" w:rsidRPr="00D40DC4">
        <w:t xml:space="preserve"> megállapítani a kockázati esemény valószínűségét. </w:t>
      </w:r>
    </w:p>
    <w:p w:rsidR="00282BFA" w:rsidRPr="00D40DC4" w:rsidRDefault="00282BFA" w:rsidP="00282BFA">
      <w:r w:rsidRPr="00D40DC4">
        <w:t>A kockázati események kockázati szintjét bekövetkezésének valószínűsége és a várható hatásuk alapján kell értékelni. A következő táblázat példaszerűen mutatja be a kockázatok szintjének értékelését – a függőleges (y) tengelyen a bekövetkezési valószínűség, a vízszintes (x) tengelyen pedig a hatás súlyossága szerepel.</w:t>
      </w:r>
    </w:p>
    <w:p w:rsidR="00EB7FB9" w:rsidRPr="00D40DC4" w:rsidRDefault="00EB7FB9" w:rsidP="00D20F91">
      <w:pPr>
        <w:pStyle w:val="Tblzat"/>
      </w:pPr>
    </w:p>
    <w:p w:rsidR="00EB7FB9" w:rsidRPr="00D40DC4" w:rsidRDefault="00EB7FB9">
      <w:pPr>
        <w:spacing w:after="160" w:line="259" w:lineRule="auto"/>
        <w:jc w:val="left"/>
        <w:rPr>
          <w:rFonts w:eastAsia="Times New Roman" w:cs="Times New Roman"/>
          <w:i/>
          <w:szCs w:val="24"/>
          <w:lang w:eastAsia="hu-HU"/>
        </w:rPr>
      </w:pPr>
      <w:r w:rsidRPr="00D40DC4">
        <w:br w:type="page"/>
      </w:r>
    </w:p>
    <w:p w:rsidR="00282BFA" w:rsidRPr="00D40DC4" w:rsidRDefault="002C4DE0" w:rsidP="00D20F91">
      <w:pPr>
        <w:pStyle w:val="Tblzat"/>
      </w:pPr>
      <w:r>
        <w:lastRenderedPageBreak/>
        <w:fldChar w:fldCharType="begin"/>
      </w:r>
      <w:r>
        <w:instrText xml:space="preserve"> SEQ táblázat \* ARABIC </w:instrText>
      </w:r>
      <w:r>
        <w:fldChar w:fldCharType="separate"/>
      </w:r>
      <w:bookmarkStart w:id="1019" w:name="_Ref428198602"/>
      <w:bookmarkStart w:id="1020" w:name="_Toc436923971"/>
      <w:r w:rsidR="007B4938" w:rsidRPr="00D40DC4">
        <w:rPr>
          <w:noProof/>
        </w:rPr>
        <w:t>38</w:t>
      </w:r>
      <w:bookmarkEnd w:id="1019"/>
      <w:r>
        <w:rPr>
          <w:noProof/>
        </w:rPr>
        <w:fldChar w:fldCharType="end"/>
      </w:r>
      <w:r w:rsidR="00282BFA" w:rsidRPr="00D40DC4">
        <w:t>. táblázat: A kockázati események értékelése hatásuk ill. bekövetkezésük valószínűsége szerint</w:t>
      </w:r>
      <w:bookmarkEnd w:id="1020"/>
    </w:p>
    <w:tbl>
      <w:tblPr>
        <w:tblW w:w="0" w:type="auto"/>
        <w:tblLayout w:type="fixed"/>
        <w:tblLook w:val="04A0" w:firstRow="1" w:lastRow="0" w:firstColumn="1" w:lastColumn="0" w:noHBand="0" w:noVBand="1"/>
      </w:tblPr>
      <w:tblGrid>
        <w:gridCol w:w="1510"/>
        <w:gridCol w:w="1510"/>
        <w:gridCol w:w="1511"/>
        <w:gridCol w:w="1510"/>
        <w:gridCol w:w="1510"/>
        <w:gridCol w:w="1511"/>
      </w:tblGrid>
      <w:tr w:rsidR="00ED454A" w:rsidRPr="00D40DC4" w:rsidTr="00670C1D">
        <w:tc>
          <w:tcPr>
            <w:tcW w:w="1510" w:type="dxa"/>
            <w:shd w:val="clear" w:color="auto" w:fill="99CCFF"/>
          </w:tcPr>
          <w:p w:rsidR="00ED454A" w:rsidRPr="00D40DC4" w:rsidRDefault="00ED454A" w:rsidP="00670C1D">
            <w:pPr>
              <w:keepNext/>
              <w:spacing w:after="0"/>
              <w:jc w:val="center"/>
              <w:rPr>
                <w:b/>
              </w:rPr>
            </w:pPr>
            <w:r w:rsidRPr="00D40DC4">
              <w:rPr>
                <w:b/>
              </w:rPr>
              <w:t>Kockázat hatása /</w:t>
            </w:r>
          </w:p>
          <w:p w:rsidR="00ED454A" w:rsidRPr="00D40DC4" w:rsidRDefault="00ED454A" w:rsidP="00670C1D">
            <w:pPr>
              <w:keepNext/>
              <w:spacing w:after="0"/>
              <w:jc w:val="center"/>
              <w:rPr>
                <w:b/>
              </w:rPr>
            </w:pPr>
            <w:r w:rsidRPr="00D40DC4">
              <w:rPr>
                <w:b/>
              </w:rPr>
              <w:t>valószínűség</w:t>
            </w:r>
          </w:p>
        </w:tc>
        <w:tc>
          <w:tcPr>
            <w:tcW w:w="1510" w:type="dxa"/>
            <w:shd w:val="clear" w:color="auto" w:fill="99CCFF"/>
          </w:tcPr>
          <w:p w:rsidR="00ED454A" w:rsidRPr="00D40DC4" w:rsidRDefault="00ED454A" w:rsidP="00670C1D">
            <w:pPr>
              <w:keepNext/>
              <w:spacing w:after="0"/>
              <w:jc w:val="center"/>
              <w:rPr>
                <w:b/>
              </w:rPr>
            </w:pPr>
            <w:r w:rsidRPr="00D40DC4">
              <w:rPr>
                <w:b/>
              </w:rPr>
              <w:t>I</w:t>
            </w:r>
          </w:p>
          <w:p w:rsidR="00ED454A" w:rsidRPr="00D40DC4" w:rsidRDefault="00ED454A" w:rsidP="00670C1D">
            <w:pPr>
              <w:keepNext/>
              <w:spacing w:after="0"/>
              <w:jc w:val="center"/>
              <w:rPr>
                <w:b/>
              </w:rPr>
            </w:pPr>
            <w:r w:rsidRPr="00D40DC4">
              <w:rPr>
                <w:b/>
              </w:rPr>
              <w:t>elhanyagolható hatású</w:t>
            </w:r>
          </w:p>
        </w:tc>
        <w:tc>
          <w:tcPr>
            <w:tcW w:w="1511" w:type="dxa"/>
            <w:shd w:val="clear" w:color="auto" w:fill="99CCFF"/>
          </w:tcPr>
          <w:p w:rsidR="00ED454A" w:rsidRPr="00D40DC4" w:rsidRDefault="00ED454A" w:rsidP="00670C1D">
            <w:pPr>
              <w:keepNext/>
              <w:spacing w:after="0"/>
              <w:jc w:val="center"/>
              <w:rPr>
                <w:b/>
              </w:rPr>
            </w:pPr>
            <w:r w:rsidRPr="00D40DC4">
              <w:rPr>
                <w:b/>
              </w:rPr>
              <w:t>II</w:t>
            </w:r>
          </w:p>
          <w:p w:rsidR="00ED454A" w:rsidRPr="00D40DC4" w:rsidRDefault="00ED454A" w:rsidP="00670C1D">
            <w:pPr>
              <w:keepNext/>
              <w:spacing w:after="0"/>
              <w:jc w:val="center"/>
              <w:rPr>
                <w:b/>
              </w:rPr>
            </w:pPr>
            <w:r w:rsidRPr="00D40DC4">
              <w:rPr>
                <w:b/>
              </w:rPr>
              <w:t>kis hatású</w:t>
            </w:r>
          </w:p>
        </w:tc>
        <w:tc>
          <w:tcPr>
            <w:tcW w:w="1510" w:type="dxa"/>
            <w:shd w:val="clear" w:color="auto" w:fill="99CCFF"/>
          </w:tcPr>
          <w:p w:rsidR="00ED454A" w:rsidRPr="00D40DC4" w:rsidRDefault="00ED454A" w:rsidP="00670C1D">
            <w:pPr>
              <w:keepNext/>
              <w:spacing w:after="0"/>
              <w:jc w:val="center"/>
              <w:rPr>
                <w:b/>
              </w:rPr>
            </w:pPr>
            <w:r w:rsidRPr="00D40DC4">
              <w:rPr>
                <w:b/>
              </w:rPr>
              <w:t>III</w:t>
            </w:r>
          </w:p>
          <w:p w:rsidR="00ED454A" w:rsidRPr="00D40DC4" w:rsidRDefault="00ED454A" w:rsidP="00670C1D">
            <w:pPr>
              <w:keepNext/>
              <w:spacing w:after="0"/>
              <w:jc w:val="center"/>
              <w:rPr>
                <w:b/>
              </w:rPr>
            </w:pPr>
            <w:r w:rsidRPr="00D40DC4">
              <w:rPr>
                <w:b/>
              </w:rPr>
              <w:t>mérsékelt hatású</w:t>
            </w:r>
          </w:p>
        </w:tc>
        <w:tc>
          <w:tcPr>
            <w:tcW w:w="1510" w:type="dxa"/>
            <w:shd w:val="clear" w:color="auto" w:fill="99CCFF"/>
          </w:tcPr>
          <w:p w:rsidR="00ED454A" w:rsidRPr="00D40DC4" w:rsidRDefault="00ED454A" w:rsidP="00670C1D">
            <w:pPr>
              <w:keepNext/>
              <w:spacing w:after="0"/>
              <w:jc w:val="center"/>
              <w:rPr>
                <w:b/>
              </w:rPr>
            </w:pPr>
            <w:r w:rsidRPr="00D40DC4">
              <w:rPr>
                <w:b/>
              </w:rPr>
              <w:t>IV</w:t>
            </w:r>
          </w:p>
          <w:p w:rsidR="00ED454A" w:rsidRPr="00D40DC4" w:rsidRDefault="00ED454A" w:rsidP="00670C1D">
            <w:pPr>
              <w:keepNext/>
              <w:spacing w:after="0"/>
              <w:jc w:val="center"/>
              <w:rPr>
                <w:b/>
              </w:rPr>
            </w:pPr>
            <w:r w:rsidRPr="00D40DC4">
              <w:rPr>
                <w:b/>
              </w:rPr>
              <w:t>kritikus hatású</w:t>
            </w:r>
          </w:p>
        </w:tc>
        <w:tc>
          <w:tcPr>
            <w:tcW w:w="1511" w:type="dxa"/>
            <w:shd w:val="clear" w:color="auto" w:fill="99CCFF"/>
          </w:tcPr>
          <w:p w:rsidR="00ED454A" w:rsidRPr="00D40DC4" w:rsidRDefault="00ED454A" w:rsidP="00670C1D">
            <w:pPr>
              <w:keepNext/>
              <w:spacing w:after="0"/>
              <w:jc w:val="center"/>
              <w:rPr>
                <w:b/>
              </w:rPr>
            </w:pPr>
            <w:r w:rsidRPr="00D40DC4">
              <w:rPr>
                <w:b/>
              </w:rPr>
              <w:t>V</w:t>
            </w:r>
          </w:p>
          <w:p w:rsidR="00ED454A" w:rsidRPr="00D40DC4" w:rsidRDefault="00ED454A" w:rsidP="00670C1D">
            <w:pPr>
              <w:keepNext/>
              <w:spacing w:after="0"/>
              <w:jc w:val="center"/>
              <w:rPr>
                <w:b/>
              </w:rPr>
            </w:pPr>
            <w:r w:rsidRPr="00D40DC4">
              <w:rPr>
                <w:b/>
              </w:rPr>
              <w:t>katasztrofális hatású</w:t>
            </w:r>
          </w:p>
        </w:tc>
      </w:tr>
      <w:tr w:rsidR="00ED454A" w:rsidRPr="00D40DC4" w:rsidTr="00670C1D">
        <w:tc>
          <w:tcPr>
            <w:tcW w:w="1510" w:type="dxa"/>
          </w:tcPr>
          <w:p w:rsidR="00ED454A" w:rsidRPr="00D40DC4" w:rsidRDefault="00ED454A" w:rsidP="00670C1D">
            <w:pPr>
              <w:keepNext/>
              <w:spacing w:after="0"/>
            </w:pPr>
            <w:r w:rsidRPr="00D40DC4">
              <w:rPr>
                <w:b/>
              </w:rPr>
              <w:t>A</w:t>
            </w:r>
          </w:p>
          <w:p w:rsidR="00ED454A" w:rsidRPr="00D40DC4" w:rsidRDefault="00ED454A" w:rsidP="00670C1D">
            <w:pPr>
              <w:keepNext/>
              <w:spacing w:after="0"/>
              <w:rPr>
                <w:b/>
              </w:rPr>
            </w:pPr>
            <w:r w:rsidRPr="00D40DC4">
              <w:t>Elhanyagolható valószínűségű (0-10%)</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1" w:type="dxa"/>
            <w:shd w:val="clear" w:color="auto" w:fill="92D050"/>
            <w:vAlign w:val="center"/>
          </w:tcPr>
          <w:p w:rsidR="00ED454A" w:rsidRPr="00D40DC4" w:rsidRDefault="00ED454A" w:rsidP="00670C1D">
            <w:pPr>
              <w:keepNext/>
              <w:spacing w:after="0"/>
              <w:jc w:val="center"/>
            </w:pPr>
            <w:r w:rsidRPr="00D40DC4">
              <w:t>alacsony</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1" w:type="dxa"/>
            <w:shd w:val="clear" w:color="auto" w:fill="92D050"/>
            <w:vAlign w:val="center"/>
          </w:tcPr>
          <w:p w:rsidR="00ED454A" w:rsidRPr="00D40DC4" w:rsidRDefault="00ED454A" w:rsidP="00670C1D">
            <w:pPr>
              <w:keepNext/>
              <w:spacing w:after="0"/>
              <w:jc w:val="center"/>
            </w:pPr>
            <w:r w:rsidRPr="00D40DC4">
              <w:t>mérsékelt</w:t>
            </w:r>
          </w:p>
        </w:tc>
      </w:tr>
      <w:tr w:rsidR="00ED454A" w:rsidRPr="00D40DC4" w:rsidTr="00670C1D">
        <w:tc>
          <w:tcPr>
            <w:tcW w:w="1510" w:type="dxa"/>
          </w:tcPr>
          <w:p w:rsidR="00ED454A" w:rsidRPr="00D40DC4" w:rsidRDefault="00ED454A" w:rsidP="00670C1D">
            <w:pPr>
              <w:keepNext/>
              <w:spacing w:after="0"/>
            </w:pPr>
            <w:r w:rsidRPr="00D40DC4">
              <w:rPr>
                <w:b/>
              </w:rPr>
              <w:t>B</w:t>
            </w:r>
          </w:p>
          <w:p w:rsidR="00ED454A" w:rsidRPr="00D40DC4" w:rsidRDefault="00ED454A" w:rsidP="00670C1D">
            <w:pPr>
              <w:keepNext/>
              <w:spacing w:after="0"/>
              <w:rPr>
                <w:b/>
              </w:rPr>
            </w:pPr>
            <w:r w:rsidRPr="00D40DC4">
              <w:t>Kis valószínűségű (10-33%)</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1" w:type="dxa"/>
            <w:shd w:val="clear" w:color="auto" w:fill="92D050"/>
            <w:vAlign w:val="center"/>
          </w:tcPr>
          <w:p w:rsidR="00ED454A" w:rsidRPr="00D40DC4" w:rsidRDefault="00ED454A" w:rsidP="00670C1D">
            <w:pPr>
              <w:keepNext/>
              <w:spacing w:after="0"/>
              <w:jc w:val="center"/>
            </w:pPr>
            <w:r w:rsidRPr="00D40DC4">
              <w:t>alacsony</w:t>
            </w:r>
          </w:p>
        </w:tc>
        <w:tc>
          <w:tcPr>
            <w:tcW w:w="1510" w:type="dxa"/>
            <w:shd w:val="clear" w:color="auto" w:fill="FFFF00"/>
            <w:vAlign w:val="center"/>
          </w:tcPr>
          <w:p w:rsidR="00ED454A" w:rsidRPr="00D40DC4" w:rsidRDefault="00ED454A" w:rsidP="00670C1D">
            <w:pPr>
              <w:keepNext/>
              <w:spacing w:after="0"/>
              <w:jc w:val="center"/>
            </w:pPr>
            <w:r w:rsidRPr="00D40DC4">
              <w:t>mérsékelt</w:t>
            </w:r>
          </w:p>
        </w:tc>
        <w:tc>
          <w:tcPr>
            <w:tcW w:w="1510" w:type="dxa"/>
            <w:shd w:val="clear" w:color="auto" w:fill="FFFF00"/>
            <w:vAlign w:val="center"/>
          </w:tcPr>
          <w:p w:rsidR="00ED454A" w:rsidRPr="00D40DC4" w:rsidRDefault="00ED454A" w:rsidP="00670C1D">
            <w:pPr>
              <w:keepNext/>
              <w:spacing w:after="0"/>
              <w:jc w:val="center"/>
            </w:pPr>
            <w:r w:rsidRPr="00D40DC4">
              <w:t>mérsékelt</w:t>
            </w:r>
          </w:p>
        </w:tc>
        <w:tc>
          <w:tcPr>
            <w:tcW w:w="1511"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magas</w:t>
            </w:r>
          </w:p>
        </w:tc>
      </w:tr>
      <w:tr w:rsidR="00ED454A" w:rsidRPr="00D40DC4" w:rsidTr="00670C1D">
        <w:tc>
          <w:tcPr>
            <w:tcW w:w="1510" w:type="dxa"/>
          </w:tcPr>
          <w:p w:rsidR="00ED454A" w:rsidRPr="00D40DC4" w:rsidRDefault="00ED454A" w:rsidP="00670C1D">
            <w:pPr>
              <w:keepNext/>
              <w:spacing w:after="0"/>
            </w:pPr>
            <w:r w:rsidRPr="00D40DC4">
              <w:rPr>
                <w:b/>
              </w:rPr>
              <w:t>C</w:t>
            </w:r>
          </w:p>
          <w:p w:rsidR="00ED454A" w:rsidRPr="00D40DC4" w:rsidRDefault="00ED454A" w:rsidP="00670C1D">
            <w:pPr>
              <w:keepNext/>
              <w:spacing w:after="0"/>
              <w:rPr>
                <w:b/>
              </w:rPr>
            </w:pPr>
            <w:r w:rsidRPr="00D40DC4">
              <w:t>Közepes valószínűségű (33-66%)</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1" w:type="dxa"/>
            <w:shd w:val="clear" w:color="auto" w:fill="FFFF00"/>
            <w:vAlign w:val="center"/>
          </w:tcPr>
          <w:p w:rsidR="00ED454A" w:rsidRPr="00D40DC4" w:rsidRDefault="00ED454A" w:rsidP="00670C1D">
            <w:pPr>
              <w:keepNext/>
              <w:spacing w:after="0"/>
              <w:jc w:val="center"/>
            </w:pPr>
            <w:r w:rsidRPr="00D40DC4">
              <w:t>mérsékelt</w:t>
            </w:r>
          </w:p>
        </w:tc>
        <w:tc>
          <w:tcPr>
            <w:tcW w:w="1510" w:type="dxa"/>
            <w:shd w:val="clear" w:color="auto" w:fill="FFFF00"/>
            <w:vAlign w:val="center"/>
          </w:tcPr>
          <w:p w:rsidR="00ED454A" w:rsidRPr="00D40DC4" w:rsidRDefault="00ED454A" w:rsidP="00670C1D">
            <w:pPr>
              <w:keepNext/>
              <w:spacing w:after="0"/>
              <w:jc w:val="center"/>
            </w:pPr>
            <w:r w:rsidRPr="00D40DC4">
              <w:t>mérsékelt</w:t>
            </w:r>
          </w:p>
        </w:tc>
        <w:tc>
          <w:tcPr>
            <w:tcW w:w="1510" w:type="dxa"/>
            <w:shd w:val="clear" w:color="auto" w:fill="FF0000"/>
            <w:vAlign w:val="center"/>
          </w:tcPr>
          <w:p w:rsidR="00ED454A" w:rsidRPr="00D40DC4" w:rsidRDefault="00ED454A" w:rsidP="00670C1D">
            <w:pPr>
              <w:keepNext/>
              <w:spacing w:after="0"/>
              <w:jc w:val="center"/>
            </w:pPr>
            <w:r w:rsidRPr="00D40DC4">
              <w:rPr>
                <w:color w:val="FFFFFF" w:themeColor="background1"/>
              </w:rPr>
              <w:t>magas</w:t>
            </w:r>
          </w:p>
        </w:tc>
        <w:tc>
          <w:tcPr>
            <w:tcW w:w="1511"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magas</w:t>
            </w:r>
          </w:p>
        </w:tc>
      </w:tr>
      <w:tr w:rsidR="00ED454A" w:rsidRPr="00D40DC4" w:rsidTr="00670C1D">
        <w:tc>
          <w:tcPr>
            <w:tcW w:w="1510" w:type="dxa"/>
          </w:tcPr>
          <w:p w:rsidR="00ED454A" w:rsidRPr="00D40DC4" w:rsidRDefault="00ED454A" w:rsidP="00670C1D">
            <w:pPr>
              <w:keepNext/>
              <w:spacing w:after="0"/>
            </w:pPr>
            <w:r w:rsidRPr="00D40DC4">
              <w:rPr>
                <w:b/>
              </w:rPr>
              <w:t>D</w:t>
            </w:r>
          </w:p>
          <w:p w:rsidR="00ED454A" w:rsidRPr="00D40DC4" w:rsidRDefault="00ED454A" w:rsidP="00670C1D">
            <w:pPr>
              <w:keepNext/>
              <w:spacing w:after="0"/>
              <w:rPr>
                <w:b/>
              </w:rPr>
            </w:pPr>
            <w:r w:rsidRPr="00D40DC4">
              <w:t>Nagyon valószínű (66-90%</w:t>
            </w:r>
          </w:p>
        </w:tc>
        <w:tc>
          <w:tcPr>
            <w:tcW w:w="1510" w:type="dxa"/>
            <w:shd w:val="clear" w:color="auto" w:fill="92D050"/>
            <w:vAlign w:val="center"/>
          </w:tcPr>
          <w:p w:rsidR="00ED454A" w:rsidRPr="00D40DC4" w:rsidRDefault="00ED454A" w:rsidP="00670C1D">
            <w:pPr>
              <w:keepNext/>
              <w:spacing w:after="0"/>
              <w:jc w:val="center"/>
            </w:pPr>
            <w:r w:rsidRPr="00D40DC4">
              <w:t>alacsony</w:t>
            </w:r>
          </w:p>
        </w:tc>
        <w:tc>
          <w:tcPr>
            <w:tcW w:w="1511" w:type="dxa"/>
            <w:shd w:val="clear" w:color="auto" w:fill="FFFF00"/>
            <w:vAlign w:val="center"/>
          </w:tcPr>
          <w:p w:rsidR="00ED454A" w:rsidRPr="00D40DC4" w:rsidRDefault="00ED454A" w:rsidP="00670C1D">
            <w:pPr>
              <w:keepNext/>
              <w:spacing w:after="0"/>
              <w:jc w:val="center"/>
            </w:pPr>
            <w:r w:rsidRPr="00D40DC4">
              <w:t>mérsékelt</w:t>
            </w:r>
          </w:p>
        </w:tc>
        <w:tc>
          <w:tcPr>
            <w:tcW w:w="1510" w:type="dxa"/>
            <w:shd w:val="clear" w:color="auto" w:fill="FF0000"/>
            <w:vAlign w:val="center"/>
          </w:tcPr>
          <w:p w:rsidR="00ED454A" w:rsidRPr="00D40DC4" w:rsidRDefault="00ED454A" w:rsidP="00670C1D">
            <w:pPr>
              <w:keepNext/>
              <w:spacing w:after="0"/>
              <w:jc w:val="center"/>
            </w:pPr>
            <w:r w:rsidRPr="00D40DC4">
              <w:rPr>
                <w:color w:val="FFFFFF" w:themeColor="background1"/>
              </w:rPr>
              <w:t>magas</w:t>
            </w:r>
          </w:p>
        </w:tc>
        <w:tc>
          <w:tcPr>
            <w:tcW w:w="1510" w:type="dxa"/>
            <w:shd w:val="clear" w:color="auto" w:fill="990000"/>
            <w:vAlign w:val="center"/>
          </w:tcPr>
          <w:p w:rsidR="00ED454A" w:rsidRPr="00D40DC4" w:rsidRDefault="00ED454A" w:rsidP="00670C1D">
            <w:pPr>
              <w:keepNext/>
              <w:spacing w:after="0"/>
              <w:jc w:val="center"/>
            </w:pPr>
            <w:r w:rsidRPr="00D40DC4">
              <w:t>nagyon magas</w:t>
            </w:r>
          </w:p>
        </w:tc>
        <w:tc>
          <w:tcPr>
            <w:tcW w:w="1511" w:type="dxa"/>
            <w:shd w:val="clear" w:color="auto" w:fill="990000"/>
            <w:vAlign w:val="center"/>
          </w:tcPr>
          <w:p w:rsidR="00ED454A" w:rsidRPr="00D40DC4" w:rsidRDefault="00ED454A" w:rsidP="00670C1D">
            <w:pPr>
              <w:keepNext/>
              <w:spacing w:after="0"/>
              <w:jc w:val="center"/>
            </w:pPr>
            <w:r w:rsidRPr="00D40DC4">
              <w:t>nagyon magas</w:t>
            </w:r>
          </w:p>
        </w:tc>
      </w:tr>
      <w:tr w:rsidR="00ED454A" w:rsidRPr="00D40DC4" w:rsidTr="00670C1D">
        <w:tc>
          <w:tcPr>
            <w:tcW w:w="1510" w:type="dxa"/>
          </w:tcPr>
          <w:p w:rsidR="00ED454A" w:rsidRPr="00D40DC4" w:rsidRDefault="00ED454A" w:rsidP="00670C1D">
            <w:pPr>
              <w:keepNext/>
              <w:spacing w:after="0"/>
            </w:pPr>
            <w:r w:rsidRPr="00D40DC4">
              <w:rPr>
                <w:b/>
              </w:rPr>
              <w:t>E</w:t>
            </w:r>
          </w:p>
          <w:p w:rsidR="00ED454A" w:rsidRPr="00D40DC4" w:rsidRDefault="00ED454A" w:rsidP="00670C1D">
            <w:pPr>
              <w:keepNext/>
              <w:spacing w:after="0"/>
              <w:rPr>
                <w:b/>
              </w:rPr>
            </w:pPr>
            <w:r w:rsidRPr="00D40DC4">
              <w:t>Biztos eseménynek tekinthető (90-100%)</w:t>
            </w:r>
          </w:p>
        </w:tc>
        <w:tc>
          <w:tcPr>
            <w:tcW w:w="1510" w:type="dxa"/>
            <w:shd w:val="clear" w:color="auto" w:fill="FFFF00"/>
            <w:vAlign w:val="center"/>
          </w:tcPr>
          <w:p w:rsidR="00ED454A" w:rsidRPr="00D40DC4" w:rsidRDefault="00ED454A" w:rsidP="00670C1D">
            <w:pPr>
              <w:keepNext/>
              <w:spacing w:after="0"/>
              <w:jc w:val="center"/>
            </w:pPr>
            <w:r w:rsidRPr="00D40DC4">
              <w:t>mérsékelt</w:t>
            </w:r>
          </w:p>
        </w:tc>
        <w:tc>
          <w:tcPr>
            <w:tcW w:w="1511" w:type="dxa"/>
            <w:shd w:val="clear" w:color="auto" w:fill="FF0000"/>
            <w:vAlign w:val="center"/>
          </w:tcPr>
          <w:p w:rsidR="00ED454A" w:rsidRPr="00D40DC4" w:rsidRDefault="00ED454A" w:rsidP="00670C1D">
            <w:pPr>
              <w:keepNext/>
              <w:spacing w:after="0"/>
              <w:jc w:val="center"/>
            </w:pPr>
            <w:r w:rsidRPr="00D40DC4">
              <w:rPr>
                <w:color w:val="FFFFFF" w:themeColor="background1"/>
              </w:rPr>
              <w:t>magas</w:t>
            </w:r>
          </w:p>
        </w:tc>
        <w:tc>
          <w:tcPr>
            <w:tcW w:w="1510" w:type="dxa"/>
            <w:shd w:val="clear" w:color="auto" w:fill="990000"/>
            <w:vAlign w:val="center"/>
          </w:tcPr>
          <w:p w:rsidR="00ED454A" w:rsidRPr="00D40DC4" w:rsidRDefault="00ED454A" w:rsidP="00670C1D">
            <w:pPr>
              <w:keepNext/>
              <w:spacing w:after="0"/>
              <w:jc w:val="center"/>
            </w:pPr>
            <w:r w:rsidRPr="00D40DC4">
              <w:t>nagyon magas</w:t>
            </w:r>
          </w:p>
        </w:tc>
        <w:tc>
          <w:tcPr>
            <w:tcW w:w="1510" w:type="dxa"/>
            <w:shd w:val="clear" w:color="auto" w:fill="990000"/>
            <w:vAlign w:val="center"/>
          </w:tcPr>
          <w:p w:rsidR="00ED454A" w:rsidRPr="00D40DC4" w:rsidRDefault="00ED454A" w:rsidP="00670C1D">
            <w:pPr>
              <w:keepNext/>
              <w:spacing w:after="0"/>
              <w:jc w:val="center"/>
            </w:pPr>
            <w:r w:rsidRPr="00D40DC4">
              <w:t>nagyon magas</w:t>
            </w:r>
          </w:p>
        </w:tc>
        <w:tc>
          <w:tcPr>
            <w:tcW w:w="1511" w:type="dxa"/>
            <w:shd w:val="clear" w:color="auto" w:fill="990000"/>
            <w:vAlign w:val="center"/>
          </w:tcPr>
          <w:p w:rsidR="00ED454A" w:rsidRPr="00D40DC4" w:rsidRDefault="00ED454A" w:rsidP="00670C1D">
            <w:pPr>
              <w:keepNext/>
              <w:spacing w:after="0"/>
              <w:jc w:val="center"/>
            </w:pPr>
            <w:r w:rsidRPr="00D40DC4">
              <w:t>nagyon magas</w:t>
            </w:r>
          </w:p>
        </w:tc>
      </w:tr>
    </w:tbl>
    <w:p w:rsidR="00282BFA" w:rsidRPr="00D40DC4" w:rsidRDefault="00282BFA" w:rsidP="00282BFA"/>
    <w:p w:rsidR="00434AA4" w:rsidRPr="00D40DC4" w:rsidRDefault="00434AA4" w:rsidP="00842EEF">
      <w:r w:rsidRPr="00D40DC4">
        <w:t>A kockázati eseményekhez rendelt mérséklési- és megelőzési intézkedés alapját az esemény kockázati szintje határozza meg.</w:t>
      </w:r>
    </w:p>
    <w:p w:rsidR="00282BFA" w:rsidRPr="00D40DC4" w:rsidRDefault="002C4DE0" w:rsidP="00D20F91">
      <w:pPr>
        <w:pStyle w:val="Tblzat"/>
      </w:pPr>
      <w:r>
        <w:fldChar w:fldCharType="begin"/>
      </w:r>
      <w:r>
        <w:instrText xml:space="preserve"> SEQ táblázat \* ARABIC </w:instrText>
      </w:r>
      <w:r>
        <w:fldChar w:fldCharType="separate"/>
      </w:r>
      <w:bookmarkStart w:id="1021" w:name="_Ref428198640"/>
      <w:bookmarkStart w:id="1022" w:name="_Toc436923972"/>
      <w:r w:rsidR="007B4938" w:rsidRPr="00D40DC4">
        <w:rPr>
          <w:noProof/>
        </w:rPr>
        <w:t>39</w:t>
      </w:r>
      <w:bookmarkEnd w:id="1021"/>
      <w:r>
        <w:rPr>
          <w:noProof/>
        </w:rPr>
        <w:fldChar w:fldCharType="end"/>
      </w:r>
      <w:r w:rsidR="00282BFA" w:rsidRPr="00D40DC4">
        <w:t>. táblázat: A kockázatmérséklési- és megelőzési stratégiák alkalmazása a kockázati szint függvényében</w:t>
      </w:r>
      <w:bookmarkEnd w:id="1022"/>
    </w:p>
    <w:tbl>
      <w:tblPr>
        <w:tblW w:w="0" w:type="auto"/>
        <w:tblLayout w:type="fixed"/>
        <w:tblLook w:val="04A0" w:firstRow="1" w:lastRow="0" w:firstColumn="1" w:lastColumn="0" w:noHBand="0" w:noVBand="1"/>
      </w:tblPr>
      <w:tblGrid>
        <w:gridCol w:w="1510"/>
        <w:gridCol w:w="1510"/>
        <w:gridCol w:w="1511"/>
        <w:gridCol w:w="1510"/>
        <w:gridCol w:w="1510"/>
        <w:gridCol w:w="1511"/>
      </w:tblGrid>
      <w:tr w:rsidR="00ED454A" w:rsidRPr="00D40DC4" w:rsidTr="00670C1D">
        <w:tc>
          <w:tcPr>
            <w:tcW w:w="1510" w:type="dxa"/>
            <w:shd w:val="clear" w:color="auto" w:fill="99CCFF"/>
          </w:tcPr>
          <w:p w:rsidR="00ED454A" w:rsidRPr="00D40DC4" w:rsidRDefault="00ED454A" w:rsidP="00670C1D">
            <w:pPr>
              <w:keepNext/>
              <w:spacing w:after="0"/>
              <w:jc w:val="center"/>
              <w:rPr>
                <w:b/>
              </w:rPr>
            </w:pPr>
            <w:r w:rsidRPr="00D40DC4">
              <w:rPr>
                <w:b/>
              </w:rPr>
              <w:t>Kockázat hatása /</w:t>
            </w:r>
          </w:p>
          <w:p w:rsidR="00ED454A" w:rsidRPr="00D40DC4" w:rsidRDefault="00ED454A" w:rsidP="00670C1D">
            <w:pPr>
              <w:keepNext/>
              <w:spacing w:after="0"/>
              <w:jc w:val="center"/>
              <w:rPr>
                <w:b/>
              </w:rPr>
            </w:pPr>
            <w:r w:rsidRPr="00D40DC4">
              <w:rPr>
                <w:b/>
              </w:rPr>
              <w:t>valószínűség</w:t>
            </w:r>
          </w:p>
        </w:tc>
        <w:tc>
          <w:tcPr>
            <w:tcW w:w="1510" w:type="dxa"/>
            <w:shd w:val="clear" w:color="auto" w:fill="99CCFF"/>
          </w:tcPr>
          <w:p w:rsidR="00ED454A" w:rsidRPr="00D40DC4" w:rsidRDefault="00ED454A" w:rsidP="00670C1D">
            <w:pPr>
              <w:keepNext/>
              <w:spacing w:after="0"/>
              <w:jc w:val="center"/>
              <w:rPr>
                <w:b/>
              </w:rPr>
            </w:pPr>
            <w:r w:rsidRPr="00D40DC4">
              <w:rPr>
                <w:b/>
              </w:rPr>
              <w:t>I</w:t>
            </w:r>
          </w:p>
          <w:p w:rsidR="00ED454A" w:rsidRPr="00D40DC4" w:rsidRDefault="00ED454A" w:rsidP="00670C1D">
            <w:pPr>
              <w:keepNext/>
              <w:spacing w:after="0"/>
              <w:jc w:val="center"/>
              <w:rPr>
                <w:b/>
              </w:rPr>
            </w:pPr>
            <w:r w:rsidRPr="00D40DC4">
              <w:rPr>
                <w:b/>
              </w:rPr>
              <w:t>elhanyagolható hatású</w:t>
            </w:r>
          </w:p>
        </w:tc>
        <w:tc>
          <w:tcPr>
            <w:tcW w:w="1511" w:type="dxa"/>
            <w:shd w:val="clear" w:color="auto" w:fill="99CCFF"/>
          </w:tcPr>
          <w:p w:rsidR="00ED454A" w:rsidRPr="00D40DC4" w:rsidRDefault="00ED454A" w:rsidP="00670C1D">
            <w:pPr>
              <w:keepNext/>
              <w:spacing w:after="0"/>
              <w:jc w:val="center"/>
              <w:rPr>
                <w:b/>
              </w:rPr>
            </w:pPr>
            <w:r w:rsidRPr="00D40DC4">
              <w:rPr>
                <w:b/>
              </w:rPr>
              <w:t>II</w:t>
            </w:r>
          </w:p>
          <w:p w:rsidR="00ED454A" w:rsidRPr="00D40DC4" w:rsidRDefault="00ED454A" w:rsidP="00670C1D">
            <w:pPr>
              <w:keepNext/>
              <w:spacing w:after="0"/>
              <w:jc w:val="center"/>
              <w:rPr>
                <w:b/>
              </w:rPr>
            </w:pPr>
            <w:r w:rsidRPr="00D40DC4">
              <w:rPr>
                <w:b/>
              </w:rPr>
              <w:t>kis hatású</w:t>
            </w:r>
          </w:p>
        </w:tc>
        <w:tc>
          <w:tcPr>
            <w:tcW w:w="1510" w:type="dxa"/>
            <w:shd w:val="clear" w:color="auto" w:fill="99CCFF"/>
          </w:tcPr>
          <w:p w:rsidR="00ED454A" w:rsidRPr="00D40DC4" w:rsidRDefault="00ED454A" w:rsidP="00670C1D">
            <w:pPr>
              <w:keepNext/>
              <w:spacing w:after="0"/>
              <w:jc w:val="center"/>
              <w:rPr>
                <w:b/>
              </w:rPr>
            </w:pPr>
            <w:r w:rsidRPr="00D40DC4">
              <w:rPr>
                <w:b/>
              </w:rPr>
              <w:t>III</w:t>
            </w:r>
          </w:p>
          <w:p w:rsidR="00ED454A" w:rsidRPr="00D40DC4" w:rsidRDefault="00ED454A" w:rsidP="00670C1D">
            <w:pPr>
              <w:keepNext/>
              <w:spacing w:after="0"/>
              <w:jc w:val="center"/>
              <w:rPr>
                <w:b/>
              </w:rPr>
            </w:pPr>
            <w:r w:rsidRPr="00D40DC4">
              <w:rPr>
                <w:b/>
              </w:rPr>
              <w:t>mérsékelt hatású</w:t>
            </w:r>
          </w:p>
        </w:tc>
        <w:tc>
          <w:tcPr>
            <w:tcW w:w="1510" w:type="dxa"/>
            <w:shd w:val="clear" w:color="auto" w:fill="99CCFF"/>
          </w:tcPr>
          <w:p w:rsidR="00ED454A" w:rsidRPr="00D40DC4" w:rsidRDefault="00ED454A" w:rsidP="00670C1D">
            <w:pPr>
              <w:keepNext/>
              <w:spacing w:after="0"/>
              <w:jc w:val="center"/>
              <w:rPr>
                <w:b/>
              </w:rPr>
            </w:pPr>
            <w:r w:rsidRPr="00D40DC4">
              <w:rPr>
                <w:b/>
              </w:rPr>
              <w:t>IV</w:t>
            </w:r>
          </w:p>
          <w:p w:rsidR="00ED454A" w:rsidRPr="00D40DC4" w:rsidRDefault="00ED454A" w:rsidP="00670C1D">
            <w:pPr>
              <w:keepNext/>
              <w:spacing w:after="0"/>
              <w:jc w:val="center"/>
              <w:rPr>
                <w:b/>
              </w:rPr>
            </w:pPr>
            <w:r w:rsidRPr="00D40DC4">
              <w:rPr>
                <w:b/>
              </w:rPr>
              <w:t>kritikus hatású</w:t>
            </w:r>
          </w:p>
        </w:tc>
        <w:tc>
          <w:tcPr>
            <w:tcW w:w="1511" w:type="dxa"/>
            <w:shd w:val="clear" w:color="auto" w:fill="99CCFF"/>
          </w:tcPr>
          <w:p w:rsidR="00ED454A" w:rsidRPr="00D40DC4" w:rsidRDefault="00ED454A" w:rsidP="00670C1D">
            <w:pPr>
              <w:keepNext/>
              <w:spacing w:after="0"/>
              <w:jc w:val="center"/>
              <w:rPr>
                <w:b/>
              </w:rPr>
            </w:pPr>
            <w:r w:rsidRPr="00D40DC4">
              <w:rPr>
                <w:b/>
              </w:rPr>
              <w:t>V</w:t>
            </w:r>
          </w:p>
          <w:p w:rsidR="00ED454A" w:rsidRPr="00D40DC4" w:rsidRDefault="00ED454A" w:rsidP="00670C1D">
            <w:pPr>
              <w:keepNext/>
              <w:spacing w:after="0"/>
              <w:jc w:val="center"/>
              <w:rPr>
                <w:b/>
              </w:rPr>
            </w:pPr>
            <w:r w:rsidRPr="00D40DC4">
              <w:rPr>
                <w:b/>
              </w:rPr>
              <w:t>katasztrofális hatású</w:t>
            </w:r>
          </w:p>
        </w:tc>
      </w:tr>
      <w:tr w:rsidR="00ED454A" w:rsidRPr="00D40DC4" w:rsidTr="00670C1D">
        <w:tc>
          <w:tcPr>
            <w:tcW w:w="1510" w:type="dxa"/>
          </w:tcPr>
          <w:p w:rsidR="00ED454A" w:rsidRPr="00D40DC4" w:rsidRDefault="00ED454A" w:rsidP="00670C1D">
            <w:pPr>
              <w:keepNext/>
              <w:spacing w:after="0"/>
            </w:pPr>
            <w:r w:rsidRPr="00D40DC4">
              <w:rPr>
                <w:b/>
              </w:rPr>
              <w:t>A</w:t>
            </w:r>
          </w:p>
          <w:p w:rsidR="00ED454A" w:rsidRPr="00D40DC4" w:rsidRDefault="00ED454A" w:rsidP="00670C1D">
            <w:pPr>
              <w:keepNext/>
              <w:spacing w:after="0"/>
              <w:rPr>
                <w:b/>
              </w:rPr>
            </w:pPr>
            <w:r w:rsidRPr="00D40DC4">
              <w:t>Elhanyagolható valószínűségű (0-10%)</w:t>
            </w:r>
          </w:p>
        </w:tc>
        <w:tc>
          <w:tcPr>
            <w:tcW w:w="1510" w:type="dxa"/>
            <w:shd w:val="clear" w:color="auto" w:fill="auto"/>
            <w:vAlign w:val="center"/>
          </w:tcPr>
          <w:p w:rsidR="00ED454A" w:rsidRPr="00D40DC4" w:rsidRDefault="00ED454A" w:rsidP="00670C1D">
            <w:pPr>
              <w:keepNext/>
              <w:spacing w:after="0"/>
              <w:jc w:val="center"/>
            </w:pPr>
            <w:r w:rsidRPr="00D40DC4">
              <w:t>nincs</w:t>
            </w:r>
          </w:p>
        </w:tc>
        <w:tc>
          <w:tcPr>
            <w:tcW w:w="1511" w:type="dxa"/>
            <w:shd w:val="clear" w:color="auto" w:fill="FFFF00"/>
            <w:vAlign w:val="center"/>
          </w:tcPr>
          <w:p w:rsidR="00ED454A" w:rsidRPr="00D40DC4" w:rsidRDefault="00ED454A" w:rsidP="00670C1D">
            <w:pPr>
              <w:keepNext/>
              <w:spacing w:after="0"/>
              <w:jc w:val="center"/>
            </w:pPr>
            <w:r w:rsidRPr="00D40DC4">
              <w:t>mérséklés</w:t>
            </w:r>
          </w:p>
        </w:tc>
        <w:tc>
          <w:tcPr>
            <w:tcW w:w="1510" w:type="dxa"/>
            <w:shd w:val="clear" w:color="auto" w:fill="FFFF00"/>
            <w:vAlign w:val="center"/>
          </w:tcPr>
          <w:p w:rsidR="00ED454A" w:rsidRPr="00D40DC4" w:rsidRDefault="00ED454A" w:rsidP="00670C1D">
            <w:pPr>
              <w:keepNext/>
              <w:spacing w:after="0"/>
              <w:jc w:val="center"/>
            </w:pPr>
            <w:r w:rsidRPr="00D40DC4">
              <w:t>mérséklés</w:t>
            </w:r>
          </w:p>
        </w:tc>
        <w:tc>
          <w:tcPr>
            <w:tcW w:w="1510" w:type="dxa"/>
            <w:shd w:val="clear" w:color="auto" w:fill="FFFF00"/>
            <w:vAlign w:val="center"/>
          </w:tcPr>
          <w:p w:rsidR="00ED454A" w:rsidRPr="00D40DC4" w:rsidRDefault="00ED454A" w:rsidP="00670C1D">
            <w:pPr>
              <w:keepNext/>
              <w:spacing w:after="0"/>
              <w:jc w:val="center"/>
            </w:pPr>
            <w:r w:rsidRPr="00D40DC4">
              <w:t>mérséklés</w:t>
            </w:r>
          </w:p>
        </w:tc>
        <w:tc>
          <w:tcPr>
            <w:tcW w:w="1511" w:type="dxa"/>
            <w:shd w:val="clear" w:color="auto" w:fill="990000"/>
            <w:vAlign w:val="center"/>
          </w:tcPr>
          <w:p w:rsidR="00ED454A" w:rsidRPr="00D40DC4" w:rsidRDefault="00ED454A" w:rsidP="00670C1D">
            <w:pPr>
              <w:keepNext/>
              <w:spacing w:after="0"/>
              <w:jc w:val="center"/>
            </w:pPr>
            <w:r w:rsidRPr="00D40DC4">
              <w:t>megelőzés és mérséklés</w:t>
            </w:r>
          </w:p>
        </w:tc>
      </w:tr>
      <w:tr w:rsidR="00ED454A" w:rsidRPr="00D40DC4" w:rsidTr="00670C1D">
        <w:tc>
          <w:tcPr>
            <w:tcW w:w="1510" w:type="dxa"/>
          </w:tcPr>
          <w:p w:rsidR="00ED454A" w:rsidRPr="00D40DC4" w:rsidRDefault="00ED454A" w:rsidP="00670C1D">
            <w:pPr>
              <w:keepNext/>
              <w:spacing w:after="0"/>
            </w:pPr>
            <w:r w:rsidRPr="00D40DC4">
              <w:rPr>
                <w:b/>
              </w:rPr>
              <w:t>B</w:t>
            </w:r>
          </w:p>
          <w:p w:rsidR="00ED454A" w:rsidRPr="00D40DC4" w:rsidRDefault="00ED454A" w:rsidP="00670C1D">
            <w:pPr>
              <w:keepNext/>
              <w:spacing w:after="0"/>
              <w:rPr>
                <w:b/>
              </w:rPr>
            </w:pPr>
            <w:r w:rsidRPr="00D40DC4">
              <w:t>Kis valószínűségű (10-33%)</w:t>
            </w:r>
          </w:p>
        </w:tc>
        <w:tc>
          <w:tcPr>
            <w:tcW w:w="1510" w:type="dxa"/>
            <w:shd w:val="clear" w:color="auto" w:fill="92D050"/>
            <w:vAlign w:val="center"/>
          </w:tcPr>
          <w:p w:rsidR="00ED454A" w:rsidRPr="00D40DC4" w:rsidRDefault="00ED454A" w:rsidP="00670C1D">
            <w:pPr>
              <w:keepNext/>
              <w:spacing w:after="0"/>
              <w:jc w:val="center"/>
            </w:pPr>
            <w:r w:rsidRPr="00D40DC4">
              <w:t>megelőzés</w:t>
            </w:r>
          </w:p>
        </w:tc>
        <w:tc>
          <w:tcPr>
            <w:tcW w:w="1511"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megelőzés vagy mérséklés</w:t>
            </w:r>
          </w:p>
        </w:tc>
        <w:tc>
          <w:tcPr>
            <w:tcW w:w="1510"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megelőzés vagy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1" w:type="dxa"/>
            <w:shd w:val="clear" w:color="auto" w:fill="990000"/>
            <w:vAlign w:val="center"/>
          </w:tcPr>
          <w:p w:rsidR="00ED454A" w:rsidRPr="00D40DC4" w:rsidRDefault="00ED454A" w:rsidP="00670C1D">
            <w:pPr>
              <w:keepNext/>
              <w:spacing w:after="0"/>
              <w:jc w:val="center"/>
              <w:rPr>
                <w:color w:val="FFFFFF" w:themeColor="background1"/>
              </w:rPr>
            </w:pPr>
            <w:r w:rsidRPr="00D40DC4">
              <w:t>megelőzés és mérséklés</w:t>
            </w:r>
          </w:p>
        </w:tc>
      </w:tr>
      <w:tr w:rsidR="00ED454A" w:rsidRPr="00D40DC4" w:rsidTr="00670C1D">
        <w:tc>
          <w:tcPr>
            <w:tcW w:w="1510" w:type="dxa"/>
          </w:tcPr>
          <w:p w:rsidR="00ED454A" w:rsidRPr="00D40DC4" w:rsidRDefault="00ED454A" w:rsidP="00670C1D">
            <w:pPr>
              <w:keepNext/>
              <w:spacing w:after="0"/>
            </w:pPr>
            <w:r w:rsidRPr="00D40DC4">
              <w:rPr>
                <w:b/>
              </w:rPr>
              <w:t>C</w:t>
            </w:r>
          </w:p>
          <w:p w:rsidR="00ED454A" w:rsidRPr="00D40DC4" w:rsidRDefault="00ED454A" w:rsidP="00670C1D">
            <w:pPr>
              <w:keepNext/>
              <w:spacing w:after="0"/>
              <w:rPr>
                <w:b/>
              </w:rPr>
            </w:pPr>
            <w:r w:rsidRPr="00D40DC4">
              <w:t>Közepes valószínűségű (33-66%)</w:t>
            </w:r>
          </w:p>
        </w:tc>
        <w:tc>
          <w:tcPr>
            <w:tcW w:w="1510" w:type="dxa"/>
            <w:shd w:val="clear" w:color="auto" w:fill="92D050"/>
            <w:vAlign w:val="center"/>
          </w:tcPr>
          <w:p w:rsidR="00ED454A" w:rsidRPr="00D40DC4" w:rsidRDefault="00ED454A" w:rsidP="00670C1D">
            <w:pPr>
              <w:keepNext/>
              <w:spacing w:after="0"/>
              <w:jc w:val="center"/>
            </w:pPr>
            <w:r w:rsidRPr="00D40DC4">
              <w:t>megelőzés</w:t>
            </w:r>
          </w:p>
        </w:tc>
        <w:tc>
          <w:tcPr>
            <w:tcW w:w="1511"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megelőzés vagy mérséklés</w:t>
            </w:r>
          </w:p>
        </w:tc>
        <w:tc>
          <w:tcPr>
            <w:tcW w:w="1510" w:type="dxa"/>
            <w:shd w:val="clear" w:color="auto" w:fill="FF0000"/>
            <w:vAlign w:val="center"/>
          </w:tcPr>
          <w:p w:rsidR="00ED454A" w:rsidRPr="00D40DC4" w:rsidRDefault="00ED454A" w:rsidP="00670C1D">
            <w:pPr>
              <w:keepNext/>
              <w:spacing w:after="0"/>
              <w:jc w:val="center"/>
              <w:rPr>
                <w:color w:val="FFFFFF" w:themeColor="background1"/>
              </w:rPr>
            </w:pPr>
            <w:r w:rsidRPr="00D40DC4">
              <w:rPr>
                <w:color w:val="FFFFFF" w:themeColor="background1"/>
              </w:rPr>
              <w:t>megelőzés vagy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1" w:type="dxa"/>
            <w:shd w:val="clear" w:color="auto" w:fill="990000"/>
            <w:vAlign w:val="center"/>
          </w:tcPr>
          <w:p w:rsidR="00ED454A" w:rsidRPr="00D40DC4" w:rsidRDefault="00ED454A" w:rsidP="00670C1D">
            <w:pPr>
              <w:keepNext/>
              <w:spacing w:after="0"/>
              <w:jc w:val="center"/>
              <w:rPr>
                <w:color w:val="FFFFFF" w:themeColor="background1"/>
              </w:rPr>
            </w:pPr>
            <w:r w:rsidRPr="00D40DC4">
              <w:t>megelőzés és mérséklés</w:t>
            </w:r>
          </w:p>
        </w:tc>
      </w:tr>
      <w:tr w:rsidR="00ED454A" w:rsidRPr="00D40DC4" w:rsidTr="00670C1D">
        <w:tc>
          <w:tcPr>
            <w:tcW w:w="1510" w:type="dxa"/>
          </w:tcPr>
          <w:p w:rsidR="00ED454A" w:rsidRPr="00D40DC4" w:rsidRDefault="00ED454A" w:rsidP="00670C1D">
            <w:pPr>
              <w:keepNext/>
              <w:spacing w:after="0"/>
            </w:pPr>
            <w:r w:rsidRPr="00D40DC4">
              <w:rPr>
                <w:b/>
              </w:rPr>
              <w:t>D</w:t>
            </w:r>
          </w:p>
          <w:p w:rsidR="00ED454A" w:rsidRPr="00D40DC4" w:rsidRDefault="00ED454A" w:rsidP="00670C1D">
            <w:pPr>
              <w:keepNext/>
              <w:spacing w:after="0"/>
              <w:rPr>
                <w:b/>
              </w:rPr>
            </w:pPr>
            <w:r w:rsidRPr="00D40DC4">
              <w:t>Nagyon valószínű (66-90%</w:t>
            </w:r>
          </w:p>
        </w:tc>
        <w:tc>
          <w:tcPr>
            <w:tcW w:w="1510" w:type="dxa"/>
            <w:shd w:val="clear" w:color="auto" w:fill="92D050"/>
            <w:vAlign w:val="center"/>
          </w:tcPr>
          <w:p w:rsidR="00ED454A" w:rsidRPr="00D40DC4" w:rsidRDefault="00ED454A" w:rsidP="00670C1D">
            <w:pPr>
              <w:keepNext/>
              <w:spacing w:after="0"/>
              <w:jc w:val="center"/>
            </w:pPr>
            <w:r w:rsidRPr="00D40DC4">
              <w:t>megelőzés</w:t>
            </w:r>
          </w:p>
        </w:tc>
        <w:tc>
          <w:tcPr>
            <w:tcW w:w="1511"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1" w:type="dxa"/>
            <w:shd w:val="clear" w:color="auto" w:fill="990000"/>
            <w:vAlign w:val="center"/>
          </w:tcPr>
          <w:p w:rsidR="00ED454A" w:rsidRPr="00D40DC4" w:rsidRDefault="00ED454A" w:rsidP="00670C1D">
            <w:pPr>
              <w:keepNext/>
              <w:spacing w:after="0"/>
              <w:jc w:val="center"/>
            </w:pPr>
            <w:r w:rsidRPr="00D40DC4">
              <w:t>megelőzés és mérséklés</w:t>
            </w:r>
          </w:p>
        </w:tc>
      </w:tr>
      <w:tr w:rsidR="00ED454A" w:rsidRPr="00D40DC4" w:rsidTr="00670C1D">
        <w:tc>
          <w:tcPr>
            <w:tcW w:w="1510" w:type="dxa"/>
          </w:tcPr>
          <w:p w:rsidR="00ED454A" w:rsidRPr="00D40DC4" w:rsidRDefault="00ED454A" w:rsidP="00670C1D">
            <w:pPr>
              <w:keepNext/>
              <w:spacing w:after="0"/>
            </w:pPr>
            <w:r w:rsidRPr="00D40DC4">
              <w:rPr>
                <w:b/>
              </w:rPr>
              <w:t>E</w:t>
            </w:r>
          </w:p>
          <w:p w:rsidR="00ED454A" w:rsidRPr="00D40DC4" w:rsidRDefault="00ED454A" w:rsidP="00670C1D">
            <w:pPr>
              <w:spacing w:after="0"/>
              <w:rPr>
                <w:b/>
              </w:rPr>
            </w:pPr>
            <w:r w:rsidRPr="00D40DC4">
              <w:t>Biztos eseménynek tekinthető (90-100%)</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1"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0" w:type="dxa"/>
            <w:shd w:val="clear" w:color="auto" w:fill="990000"/>
            <w:vAlign w:val="center"/>
          </w:tcPr>
          <w:p w:rsidR="00ED454A" w:rsidRPr="00D40DC4" w:rsidRDefault="00ED454A" w:rsidP="00670C1D">
            <w:pPr>
              <w:keepNext/>
              <w:spacing w:after="0"/>
              <w:jc w:val="center"/>
            </w:pPr>
            <w:r w:rsidRPr="00D40DC4">
              <w:t>megelőzés és mérséklés</w:t>
            </w:r>
          </w:p>
        </w:tc>
        <w:tc>
          <w:tcPr>
            <w:tcW w:w="1511" w:type="dxa"/>
            <w:shd w:val="clear" w:color="auto" w:fill="990000"/>
            <w:vAlign w:val="center"/>
          </w:tcPr>
          <w:p w:rsidR="00ED454A" w:rsidRPr="00D40DC4" w:rsidRDefault="00ED454A" w:rsidP="00670C1D">
            <w:pPr>
              <w:keepNext/>
              <w:spacing w:after="0"/>
              <w:jc w:val="center"/>
            </w:pPr>
            <w:r w:rsidRPr="00D40DC4">
              <w:t>megelőzés és mérséklés</w:t>
            </w:r>
          </w:p>
        </w:tc>
      </w:tr>
    </w:tbl>
    <w:p w:rsidR="00EB7FB9" w:rsidRPr="00D40DC4" w:rsidRDefault="00EB7FB9" w:rsidP="00842EEF"/>
    <w:p w:rsidR="00EB7FB9" w:rsidRPr="00D40DC4" w:rsidRDefault="00EB7FB9">
      <w:pPr>
        <w:spacing w:after="160" w:line="259" w:lineRule="auto"/>
        <w:jc w:val="left"/>
      </w:pPr>
      <w:r w:rsidRPr="00D40DC4">
        <w:br w:type="page"/>
      </w:r>
    </w:p>
    <w:p w:rsidR="00842EEF" w:rsidRPr="00D40DC4" w:rsidRDefault="00842EEF" w:rsidP="00842EEF">
      <w:r w:rsidRPr="00D40DC4">
        <w:lastRenderedPageBreak/>
        <w:t>Az elemzés során meg kell határozni a még elfogadható kockázat mértékét (pl. legfeljebb mérsékelt kockázat elfogadható), az ezt meghaladó kockázatokra mérséklési és/vagy megelőzési intézkedéseket kell kidolgozni. A mérséklési és/vagy megelőzési intézkedések után fennmaradó kockázat elemzése is a kockázatelemzés részét képezi. Főszabály szerint elfogadhatatlan mértékű kockázat nem maradhat a projektben. Az, hogy a kockázatokhoz mérséklési, megelőzési intézkedések (vagy ezek kombinációja) szükséges, külön stratégia megállapítása szükséges (pl. magas kockázathoz a mérséklési vagy megelőzési, nagyon magashoz azonban mindkettő).</w:t>
      </w:r>
    </w:p>
    <w:p w:rsidR="00842EEF" w:rsidRPr="00D40DC4" w:rsidRDefault="00842EEF" w:rsidP="00842EEF">
      <w:r w:rsidRPr="00D40DC4">
        <w:t>Az intézkedések után fennmaradó kockázatot is értékelni kell. Amennyiben jelentős kockázat marad, mennyiségi kockázatelemzést kell végrehajtani. Az elemzés egyéb indokolt esetben is végrehajtható.</w:t>
      </w:r>
    </w:p>
    <w:p w:rsidR="00FB1122" w:rsidRPr="00D40DC4" w:rsidRDefault="00FB1122" w:rsidP="00DD7E6C">
      <w:pPr>
        <w:pStyle w:val="Cmsor3"/>
      </w:pPr>
      <w:bookmarkStart w:id="1023" w:name="_Ref428192360"/>
      <w:bookmarkStart w:id="1024" w:name="_Ref428258532"/>
      <w:bookmarkStart w:id="1025" w:name="_Toc436923925"/>
      <w:r w:rsidRPr="00D40DC4">
        <w:t>Kvantitatív elemzés</w:t>
      </w:r>
      <w:bookmarkEnd w:id="1023"/>
      <w:bookmarkEnd w:id="1024"/>
      <w:bookmarkEnd w:id="1025"/>
    </w:p>
    <w:p w:rsidR="00322396" w:rsidRPr="00D40DC4" w:rsidRDefault="00322396" w:rsidP="00221929">
      <w:pPr>
        <w:rPr>
          <w:rFonts w:cs="Arial"/>
        </w:rPr>
      </w:pPr>
      <w:r w:rsidRPr="00D40DC4">
        <w:rPr>
          <w:rFonts w:cs="Arial"/>
        </w:rPr>
        <w:t>Az érzékenységvizsgálat és a változatelemzés legfőbb korlátja, hogy az események előfordulásának valószínűségét nem veszi figyelembe. Valójában a kritikus változók értékeinek százalékban meghatározott önkényes változtatása egyáltalán nem tükrözi ezen változók alakulásának tényleges valószínűségét.</w:t>
      </w:r>
    </w:p>
    <w:p w:rsidR="00F14F7A" w:rsidRPr="00D40DC4" w:rsidRDefault="00F14F7A" w:rsidP="00221929">
      <w:pPr>
        <w:rPr>
          <w:rFonts w:cs="Arial"/>
        </w:rPr>
      </w:pPr>
      <w:r w:rsidRPr="00D40DC4">
        <w:rPr>
          <w:rFonts w:cs="Arial"/>
        </w:rPr>
        <w:t>A kvantitatív kockázatelemzés a következő lépéseket tartalmazza:</w:t>
      </w:r>
    </w:p>
    <w:p w:rsidR="00F14F7A" w:rsidRPr="00D40DC4" w:rsidRDefault="00F14F7A" w:rsidP="006C5A6D">
      <w:pPr>
        <w:numPr>
          <w:ilvl w:val="0"/>
          <w:numId w:val="30"/>
        </w:numPr>
      </w:pPr>
      <w:r w:rsidRPr="00D40DC4">
        <w:t xml:space="preserve">A kritikus változók valószínűségi megoszlásai, amelyek a kritikus változókban bekövetkező adott százalékos változás valószínűségét jelzik. A kvantitatív kockázatelemzéshez szükség van a kritikus változók valószínűségi megoszlásának kiszámítására. </w:t>
      </w:r>
    </w:p>
    <w:p w:rsidR="00F14F7A" w:rsidRPr="00D40DC4" w:rsidRDefault="00F14F7A" w:rsidP="006C5A6D">
      <w:pPr>
        <w:numPr>
          <w:ilvl w:val="0"/>
          <w:numId w:val="30"/>
        </w:numPr>
      </w:pPr>
      <w:r w:rsidRPr="00D40DC4">
        <w:t>A Monte-Carlo szimulációs módszeren alapuló kvantitatív kockázatelemzéssel a projekt pénzügyi és közgazdasági kimeneti mutatói várható értékére, szórására stb. vonatkozó valószínűségi megoszlásokat és statisztikai mutatók számítása.</w:t>
      </w:r>
    </w:p>
    <w:p w:rsidR="00322396" w:rsidRPr="00D40DC4" w:rsidRDefault="00E65954" w:rsidP="00221929">
      <w:pPr>
        <w:rPr>
          <w:rFonts w:cs="Arial"/>
        </w:rPr>
      </w:pPr>
      <w:r w:rsidRPr="00D40DC4">
        <w:rPr>
          <w:rFonts w:cs="Arial"/>
          <w:i/>
        </w:rPr>
        <w:t>Ex-ante</w:t>
      </w:r>
      <w:r w:rsidRPr="00D40DC4">
        <w:rPr>
          <w:rFonts w:cs="Arial"/>
        </w:rPr>
        <w:t xml:space="preserve"> értékelések során előre kell jelezni a változók jövőbeli értékeit, ami elkerülhetetlenül bizonytalansággal jár. A bizonytalanság vagy a projekt belső (pl.: a megtakarított idő értéke, a beruházás befejezésének ütemezése), vagy külső tényezők (pl. a projekt inputjainak és outputjainak ára) miatt léphet fel.</w:t>
      </w:r>
    </w:p>
    <w:p w:rsidR="00322396" w:rsidRPr="00D40DC4" w:rsidDel="008766F9" w:rsidRDefault="00322396" w:rsidP="00221929">
      <w:pPr>
        <w:rPr>
          <w:rFonts w:cs="Arial"/>
        </w:rPr>
      </w:pPr>
      <w:r w:rsidRPr="00D40DC4">
        <w:rPr>
          <w:rFonts w:cs="Arial"/>
        </w:rPr>
        <w:t xml:space="preserve">A következő lépés valószínűségi eloszlás rendelése a kritikus változók mindegyikéhez, azaz meghatározni a legjobb becslés köré az értékek pontos intervallumát, amit alapesetnek tekintünk, hogy a pénzügyi és gazdasági teljesítménymutatók várt értékeit ki tudjuk számítani. </w:t>
      </w:r>
    </w:p>
    <w:p w:rsidR="00322396" w:rsidRPr="00D40DC4" w:rsidRDefault="00322396" w:rsidP="00221929">
      <w:pPr>
        <w:rPr>
          <w:rFonts w:cs="Arial"/>
        </w:rPr>
      </w:pPr>
      <w:bookmarkStart w:id="1026" w:name="_Toc154282159"/>
      <w:bookmarkStart w:id="1027" w:name="_Toc161562627"/>
      <w:bookmarkStart w:id="1028" w:name="_Toc177825087"/>
      <w:r w:rsidRPr="00D40DC4">
        <w:rPr>
          <w:rFonts w:cs="Arial"/>
        </w:rPr>
        <w:t xml:space="preserve">A </w:t>
      </w:r>
      <w:r w:rsidR="00E65954" w:rsidRPr="00D40DC4">
        <w:rPr>
          <w:rFonts w:cs="Arial"/>
        </w:rPr>
        <w:t xml:space="preserve">kritikus változókra a valószínűségi eloszlás megállapítását követően lehet elvégezni a projekt FRR (Pénzügyi belső megtérülési ráta) vagy NPV (Pénzügyi nettó jelenérték) valószínűségi eloszlásának  számítását. Erre a </w:t>
      </w:r>
      <w:r w:rsidRPr="00D40DC4">
        <w:rPr>
          <w:rFonts w:cs="Arial"/>
        </w:rPr>
        <w:t xml:space="preserve">Monte Carlo módszer alkalmazása javasolt, amihez </w:t>
      </w:r>
      <w:r w:rsidR="00E65954" w:rsidRPr="00D40DC4">
        <w:rPr>
          <w:rFonts w:cs="Arial"/>
        </w:rPr>
        <w:t xml:space="preserve">több </w:t>
      </w:r>
      <w:r w:rsidRPr="00D40DC4">
        <w:rPr>
          <w:rFonts w:cs="Arial"/>
        </w:rPr>
        <w:t>szoftver áll rendelkezésre. A módszer tulajdonképp abból áll, hogy a kritikus változókhoz ismételten véletlenszerűen értékeket nyerünk vonatkozó, előre meghatározott intervallumokon belül, majd a projektre kiszámítjuk a teljesítménymutatókat (IRR vagy NPV), melyeket a kinyert értékek egyes csoportjaiból származtatunk. Elegendő számú mintával megismételve a folyamatot (általában néhány száznál nem több) a számítások előre meghatározott konvergenciáját kapjuk, ami az IRR vagy a NPV valószínűségi eloszlásaként értelmezhető.</w:t>
      </w:r>
    </w:p>
    <w:p w:rsidR="00E65954" w:rsidRPr="00D40DC4" w:rsidRDefault="00E65954" w:rsidP="00E65954">
      <w:pPr>
        <w:rPr>
          <w:rFonts w:cs="Arial"/>
        </w:rPr>
      </w:pPr>
      <w:bookmarkStart w:id="1029" w:name="_Toc241657564"/>
      <w:r w:rsidRPr="00D40DC4">
        <w:rPr>
          <w:rFonts w:cs="Arial"/>
        </w:rPr>
        <w:t>Az eloszlás bemutatja egy adott változó értékeinek előfordulási gyakoriságát az értékek lehetséges tartományán belül.</w:t>
      </w:r>
    </w:p>
    <w:p w:rsidR="00E65954" w:rsidRPr="00D40DC4" w:rsidRDefault="00E65954" w:rsidP="00E65954">
      <w:pPr>
        <w:rPr>
          <w:rFonts w:cs="Arial"/>
        </w:rPr>
      </w:pPr>
      <w:r w:rsidRPr="00D40DC4">
        <w:rPr>
          <w:rFonts w:cs="Arial"/>
        </w:rPr>
        <w:t>A szakirodalom két fő kategóriát ismer a valószínűség eloszlásra:</w:t>
      </w:r>
    </w:p>
    <w:p w:rsidR="00E65954" w:rsidRPr="00D40DC4" w:rsidRDefault="00E65954" w:rsidP="006F2748">
      <w:pPr>
        <w:numPr>
          <w:ilvl w:val="0"/>
          <w:numId w:val="43"/>
        </w:numPr>
      </w:pPr>
      <w:r w:rsidRPr="00D40DC4">
        <w:rPr>
          <w:b/>
        </w:rPr>
        <w:t xml:space="preserve">Diszkrét  eloszlás </w:t>
      </w:r>
      <w:r w:rsidRPr="00D40DC4">
        <w:t>– véges számú értéket vehet fel</w:t>
      </w:r>
    </w:p>
    <w:p w:rsidR="00E65954" w:rsidRPr="00D40DC4" w:rsidRDefault="00E65954" w:rsidP="00E65954">
      <w:pPr>
        <w:rPr>
          <w:rFonts w:cs="Arial"/>
        </w:rPr>
      </w:pPr>
      <w:r w:rsidRPr="00D40DC4">
        <w:rPr>
          <w:rFonts w:cs="Arial"/>
        </w:rPr>
        <w:t>Ha egy változó olyan diszkrét értékek halmazát veszi fel, amelynek mindegyikéhez valószínűség van rendelve, az diszkrét eloszlásként kerül meghatározásra. Az ilyen fajta eloszlás akkor alkalmazható, ha az elemző elegendő információval rendelkezik a vizsgált változót illetően ahhoz, hogy feltételezhesse, hogy az csak bizonyos értékeket vehet fel.</w:t>
      </w:r>
    </w:p>
    <w:p w:rsidR="00E65954" w:rsidRPr="00D40DC4" w:rsidRDefault="00E65954" w:rsidP="006F2748">
      <w:pPr>
        <w:numPr>
          <w:ilvl w:val="0"/>
          <w:numId w:val="43"/>
        </w:numPr>
      </w:pPr>
      <w:r w:rsidRPr="00D40DC4">
        <w:rPr>
          <w:b/>
          <w:bCs/>
          <w:spacing w:val="-1"/>
        </w:rPr>
        <w:t xml:space="preserve">Folytonos eloszlás - </w:t>
      </w:r>
      <w:r w:rsidRPr="00D40DC4">
        <w:t>adott intervallumban tetszőleges értéket felvehet</w:t>
      </w:r>
    </w:p>
    <w:p w:rsidR="00E65954" w:rsidRPr="00D40DC4" w:rsidRDefault="00E65954" w:rsidP="00E65954">
      <w:pPr>
        <w:rPr>
          <w:rFonts w:cs="Arial"/>
          <w:spacing w:val="-3"/>
        </w:rPr>
      </w:pPr>
      <w:r w:rsidRPr="00D40DC4">
        <w:rPr>
          <w:rFonts w:cs="Arial"/>
        </w:rPr>
        <w:t>A Gauss (vagy normál) eloszlás talán a legfontosabb és leggyakrabban használt valószínűség eloszlás. Ezt az eloszlás két paraméter határozza meg:</w:t>
      </w:r>
    </w:p>
    <w:p w:rsidR="00E65954" w:rsidRPr="00D40DC4" w:rsidRDefault="00E65954" w:rsidP="006F2748">
      <w:pPr>
        <w:numPr>
          <w:ilvl w:val="1"/>
          <w:numId w:val="43"/>
        </w:numPr>
      </w:pPr>
      <w:r w:rsidRPr="00D40DC4">
        <w:t>a közép (μ),</w:t>
      </w:r>
    </w:p>
    <w:p w:rsidR="00E65954" w:rsidRPr="00D40DC4" w:rsidRDefault="00E65954" w:rsidP="006F2748">
      <w:pPr>
        <w:numPr>
          <w:ilvl w:val="1"/>
          <w:numId w:val="43"/>
        </w:numPr>
      </w:pPr>
      <w:r w:rsidRPr="00D40DC4">
        <w:t>a szórás (σ).</w:t>
      </w:r>
    </w:p>
    <w:p w:rsidR="00E65954" w:rsidRPr="00D40DC4" w:rsidRDefault="00E65954" w:rsidP="00E65954">
      <w:pPr>
        <w:rPr>
          <w:rFonts w:cs="Arial"/>
        </w:rPr>
      </w:pPr>
      <w:r w:rsidRPr="00D40DC4">
        <w:rPr>
          <w:rFonts w:cs="Arial"/>
        </w:rPr>
        <w:lastRenderedPageBreak/>
        <w:t>A szórással mérjük a lehetséges értékek szóródásának mértékét a középérték körül.</w:t>
      </w:r>
    </w:p>
    <w:p w:rsidR="00E65954" w:rsidRPr="00D40DC4" w:rsidRDefault="00E65954" w:rsidP="00E65954">
      <w:pPr>
        <w:rPr>
          <w:rFonts w:cs="Arial"/>
          <w:color w:val="000000"/>
          <w:spacing w:val="-5"/>
          <w:szCs w:val="23"/>
        </w:rPr>
      </w:pPr>
      <w:r w:rsidRPr="00D40DC4">
        <w:rPr>
          <w:rFonts w:cs="Arial"/>
        </w:rPr>
        <w:t>A normális eloszlás számos esetben előfordul. Azokban az esetekben, amikor okkal feltételezhetjük, hogy nagyszámú csekély mértékű hatás érvényesül, amely hatások egyrészt összeadódnak másrészt önállóan érvényesülnek, ekkor okkal feltételezzük a megfigyelések normális eloszlását.</w:t>
      </w:r>
    </w:p>
    <w:p w:rsidR="00E65954" w:rsidRPr="00D40DC4" w:rsidRDefault="00E65954" w:rsidP="00E65954">
      <w:pPr>
        <w:rPr>
          <w:rFonts w:cs="Arial"/>
        </w:rPr>
      </w:pPr>
      <w:r w:rsidRPr="00D40DC4">
        <w:rPr>
          <w:rFonts w:cs="Arial"/>
        </w:rPr>
        <w:t>A háromszög vagy hárompontos eloszlást széles körben alkalmazzák, ha a változó korábbi (múltbeli) viselkedéséről nem áll rendelkezésre információ. Ez az eloszlás nagyon egyszerűen leírható, magas, alacsony és Best Guess értékkel, amelyek a valószínűségeloszlás maximum, minimum és</w:t>
      </w:r>
      <w:r w:rsidRPr="00D40DC4">
        <w:rPr>
          <w:rFonts w:cs="Arial"/>
          <w:spacing w:val="-2"/>
        </w:rPr>
        <w:t xml:space="preserve"> modális értékeit adják meg.</w:t>
      </w:r>
    </w:p>
    <w:p w:rsidR="00E65954" w:rsidRPr="00D40DC4" w:rsidRDefault="00E65954" w:rsidP="00E65954">
      <w:pPr>
        <w:rPr>
          <w:rFonts w:cs="Arial"/>
        </w:rPr>
      </w:pPr>
      <w:r w:rsidRPr="00D40DC4">
        <w:rPr>
          <w:rFonts w:cs="Arial"/>
        </w:rPr>
        <w:t>A háromszög eloszlást tipikusan olyan sokaság szubjektív leírására használják, amelyre csak limitált minta adatok állnak rendelkezésre, és főként azokban az esetekben, amikor a változók egymáshoz való viszonya ismert, de az adatok mennyisége kevés (esetleg az adatgyűjtés költségessége miatt). A háromszög eloszlás pontos analitikai és grafikus leírása jelentősen eltérő lehet, a szélsőértékek vonatkozásában a modális értékhez rendelt súly függvényében.</w:t>
      </w:r>
    </w:p>
    <w:p w:rsidR="00E65954" w:rsidRPr="00D40DC4" w:rsidRDefault="00E65954" w:rsidP="00E65954">
      <w:pPr>
        <w:rPr>
          <w:rFonts w:cs="Arial"/>
        </w:rPr>
      </w:pPr>
      <w:r w:rsidRPr="00D40DC4">
        <w:rPr>
          <w:rFonts w:cs="Arial"/>
        </w:rPr>
        <w:t xml:space="preserve">Kétfajta </w:t>
      </w:r>
      <w:r w:rsidR="00FB1122" w:rsidRPr="00D40DC4">
        <w:rPr>
          <w:rFonts w:cs="Arial"/>
        </w:rPr>
        <w:t>háromszögeloszlás</w:t>
      </w:r>
      <w:r w:rsidRPr="00D40DC4">
        <w:rPr>
          <w:rFonts w:cs="Arial"/>
        </w:rPr>
        <w:t xml:space="preserve"> ismert:</w:t>
      </w:r>
    </w:p>
    <w:p w:rsidR="00E65954" w:rsidRPr="00D40DC4" w:rsidRDefault="00E65954" w:rsidP="006F2748">
      <w:pPr>
        <w:numPr>
          <w:ilvl w:val="0"/>
          <w:numId w:val="43"/>
        </w:numPr>
      </w:pPr>
      <w:r w:rsidRPr="00D40DC4">
        <w:rPr>
          <w:b/>
        </w:rPr>
        <w:t>Szimmentrikus:</w:t>
      </w:r>
      <w:r w:rsidRPr="00D40DC4">
        <w:t xml:space="preserve"> amikor a magas érték előfordulásának valószínűsége azonos az alacsony értékek előfordulásával és a modális érték-alacsony érték, valamint a modális érték-magas érték között azonos tartomány van.</w:t>
      </w:r>
    </w:p>
    <w:p w:rsidR="00E65954" w:rsidRPr="00D40DC4" w:rsidRDefault="00E65954" w:rsidP="006F2748">
      <w:pPr>
        <w:numPr>
          <w:ilvl w:val="0"/>
          <w:numId w:val="43"/>
        </w:numPr>
        <w:rPr>
          <w:b/>
        </w:rPr>
      </w:pPr>
      <w:r w:rsidRPr="00D40DC4">
        <w:rPr>
          <w:b/>
        </w:rPr>
        <w:t>Aszimmetrikus</w:t>
      </w:r>
      <w:r w:rsidRPr="00D40DC4">
        <w:t>: ekkor a magas érték előfordulása valószínűbb, mint az alacsony értékeké, és nagyobb a tartomány a modális érték és a magas érték között, mint a modális érték és az alacsony érték között (vagy fordítva). Ha nincs okunk azt feltételezni, hogy adott tartományon belül nagyobb bizonyos érték előfordulása, mint másoké, akkor az így kapott eloszlást egyenletes eloszlásnak nevezzük. Ez olyan eloszlást jelent, amely minden, azonos nagyságú a feltételeknek megfelelő intervallumon azonos valószínűségű.</w:t>
      </w:r>
    </w:p>
    <w:p w:rsidR="00B820D4" w:rsidRPr="00D40DC4" w:rsidRDefault="00B820D4" w:rsidP="00B820D4">
      <w:r w:rsidRPr="00D40DC4">
        <w:t xml:space="preserve">A következő egy, az EU Útmutató által bemutatott egyszerű példát mutat be, mely a költség-haszon elemzés, illetve a Monte Carlo szimuláció eredményeit veti össze. </w:t>
      </w:r>
    </w:p>
    <w:p w:rsidR="00B820D4" w:rsidRPr="00D40DC4" w:rsidRDefault="002C4DE0" w:rsidP="00D20F91">
      <w:pPr>
        <w:pStyle w:val="Tblzat"/>
      </w:pPr>
      <w:r>
        <w:fldChar w:fldCharType="begin"/>
      </w:r>
      <w:r>
        <w:instrText xml:space="preserve"> SEQ táblázat \* ARABIC </w:instrText>
      </w:r>
      <w:r>
        <w:fldChar w:fldCharType="separate"/>
      </w:r>
      <w:bookmarkStart w:id="1030" w:name="_Toc436923973"/>
      <w:r w:rsidR="007B4938" w:rsidRPr="00D40DC4">
        <w:rPr>
          <w:noProof/>
        </w:rPr>
        <w:t>40</w:t>
      </w:r>
      <w:r>
        <w:rPr>
          <w:noProof/>
        </w:rPr>
        <w:fldChar w:fldCharType="end"/>
      </w:r>
      <w:r w:rsidR="00B820D4" w:rsidRPr="00D40DC4">
        <w:t xml:space="preserve">. táblázat: </w:t>
      </w:r>
      <w:r w:rsidR="00391E3F" w:rsidRPr="00D40DC4">
        <w:t>A közgazdasági teljesítménymutatók kvantitatív kockázatelemzése</w:t>
      </w:r>
      <w:bookmarkEnd w:id="1030"/>
    </w:p>
    <w:tbl>
      <w:tblPr>
        <w:tblW w:w="3751" w:type="pct"/>
        <w:tblLayout w:type="fixed"/>
        <w:tblCellMar>
          <w:left w:w="70" w:type="dxa"/>
          <w:right w:w="70" w:type="dxa"/>
        </w:tblCellMar>
        <w:tblLook w:val="0000" w:firstRow="0" w:lastRow="0" w:firstColumn="0" w:lastColumn="0" w:noHBand="0" w:noVBand="0"/>
      </w:tblPr>
      <w:tblGrid>
        <w:gridCol w:w="4175"/>
        <w:gridCol w:w="1368"/>
        <w:gridCol w:w="1368"/>
      </w:tblGrid>
      <w:tr w:rsidR="00B820D4" w:rsidRPr="00D40DC4" w:rsidTr="00A3267A">
        <w:trPr>
          <w:trHeight w:val="255"/>
          <w:tblHeader/>
        </w:trPr>
        <w:tc>
          <w:tcPr>
            <w:tcW w:w="3020" w:type="pct"/>
            <w:tcBorders>
              <w:top w:val="single" w:sz="4" w:space="0" w:color="auto"/>
              <w:left w:val="single" w:sz="4" w:space="0" w:color="auto"/>
              <w:bottom w:val="single" w:sz="4" w:space="0" w:color="auto"/>
              <w:right w:val="single" w:sz="4" w:space="0" w:color="auto"/>
            </w:tcBorders>
            <w:shd w:val="clear" w:color="auto" w:fill="99CCFF"/>
            <w:noWrap/>
            <w:vAlign w:val="center"/>
          </w:tcPr>
          <w:p w:rsidR="00B820D4" w:rsidRPr="00D40DC4" w:rsidRDefault="00B820D4" w:rsidP="00A3267A">
            <w:pPr>
              <w:spacing w:after="0"/>
              <w:jc w:val="center"/>
              <w:rPr>
                <w:rFonts w:cs="Arial"/>
                <w:b/>
                <w:szCs w:val="20"/>
              </w:rPr>
            </w:pPr>
            <w:r w:rsidRPr="00D40DC4">
              <w:rPr>
                <w:rFonts w:cs="Arial"/>
                <w:b/>
                <w:szCs w:val="20"/>
              </w:rPr>
              <w:t>Megnevezés</w:t>
            </w:r>
          </w:p>
        </w:tc>
        <w:tc>
          <w:tcPr>
            <w:tcW w:w="990" w:type="pct"/>
            <w:tcBorders>
              <w:top w:val="single" w:sz="4" w:space="0" w:color="auto"/>
              <w:left w:val="nil"/>
              <w:bottom w:val="single" w:sz="4" w:space="0" w:color="auto"/>
              <w:right w:val="single" w:sz="4" w:space="0" w:color="auto"/>
            </w:tcBorders>
            <w:shd w:val="clear" w:color="auto" w:fill="99CCFF"/>
            <w:noWrap/>
            <w:vAlign w:val="center"/>
          </w:tcPr>
          <w:p w:rsidR="00B820D4" w:rsidRPr="00D40DC4" w:rsidRDefault="00B820D4" w:rsidP="00A3267A">
            <w:pPr>
              <w:spacing w:after="0"/>
              <w:jc w:val="center"/>
              <w:rPr>
                <w:rFonts w:cs="Arial"/>
                <w:b/>
                <w:szCs w:val="20"/>
              </w:rPr>
            </w:pPr>
            <w:r w:rsidRPr="00D40DC4">
              <w:rPr>
                <w:rFonts w:cs="Arial"/>
                <w:b/>
                <w:szCs w:val="20"/>
              </w:rPr>
              <w:t xml:space="preserve">ENPV </w:t>
            </w:r>
          </w:p>
        </w:tc>
        <w:tc>
          <w:tcPr>
            <w:tcW w:w="990" w:type="pct"/>
            <w:tcBorders>
              <w:top w:val="single" w:sz="4" w:space="0" w:color="auto"/>
              <w:left w:val="nil"/>
              <w:bottom w:val="single" w:sz="4" w:space="0" w:color="auto"/>
              <w:right w:val="single" w:sz="4" w:space="0" w:color="auto"/>
            </w:tcBorders>
            <w:shd w:val="clear" w:color="auto" w:fill="99CCFF"/>
            <w:vAlign w:val="center"/>
          </w:tcPr>
          <w:p w:rsidR="00B820D4" w:rsidRPr="00D40DC4" w:rsidRDefault="00B820D4" w:rsidP="00A3267A">
            <w:pPr>
              <w:spacing w:after="0"/>
              <w:jc w:val="center"/>
              <w:rPr>
                <w:rFonts w:cs="Arial"/>
                <w:b/>
                <w:szCs w:val="20"/>
              </w:rPr>
            </w:pPr>
            <w:r w:rsidRPr="00D40DC4">
              <w:rPr>
                <w:rFonts w:cs="Arial"/>
                <w:b/>
                <w:szCs w:val="20"/>
              </w:rPr>
              <w:t xml:space="preserve">ERR </w:t>
            </w: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Alapeset</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Várható érték</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Medián</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Szórás</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Minimum érték</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Maximum érték</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r w:rsidR="00B820D4" w:rsidRPr="00D40DC4" w:rsidTr="00A3267A">
        <w:trPr>
          <w:trHeight w:val="255"/>
        </w:trPr>
        <w:tc>
          <w:tcPr>
            <w:tcW w:w="3020" w:type="pct"/>
            <w:tcBorders>
              <w:top w:val="nil"/>
              <w:left w:val="single" w:sz="4" w:space="0" w:color="auto"/>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r w:rsidRPr="00D40DC4">
              <w:rPr>
                <w:rFonts w:cs="Arial"/>
                <w:szCs w:val="20"/>
              </w:rPr>
              <w:t>Annak valószínűsége, hogy az ENPV negatív ill. az ERR alacsonyabb az alkalmazott diszkontrátánál</w:t>
            </w:r>
          </w:p>
        </w:tc>
        <w:tc>
          <w:tcPr>
            <w:tcW w:w="990" w:type="pct"/>
            <w:tcBorders>
              <w:top w:val="nil"/>
              <w:left w:val="nil"/>
              <w:bottom w:val="single" w:sz="4" w:space="0" w:color="auto"/>
              <w:right w:val="single" w:sz="4" w:space="0" w:color="auto"/>
            </w:tcBorders>
            <w:shd w:val="clear" w:color="auto" w:fill="auto"/>
            <w:noWrap/>
          </w:tcPr>
          <w:p w:rsidR="00B820D4" w:rsidRPr="00D40DC4" w:rsidRDefault="00B820D4" w:rsidP="00A3267A">
            <w:pPr>
              <w:spacing w:after="0"/>
              <w:rPr>
                <w:rFonts w:cs="Arial"/>
                <w:szCs w:val="20"/>
              </w:rPr>
            </w:pPr>
          </w:p>
        </w:tc>
        <w:tc>
          <w:tcPr>
            <w:tcW w:w="990" w:type="pct"/>
            <w:tcBorders>
              <w:top w:val="single" w:sz="4" w:space="0" w:color="auto"/>
              <w:left w:val="nil"/>
              <w:bottom w:val="single" w:sz="4" w:space="0" w:color="auto"/>
              <w:right w:val="single" w:sz="4" w:space="0" w:color="auto"/>
            </w:tcBorders>
          </w:tcPr>
          <w:p w:rsidR="00B820D4" w:rsidRPr="00D40DC4" w:rsidRDefault="00B820D4" w:rsidP="00A3267A">
            <w:pPr>
              <w:spacing w:after="0"/>
              <w:rPr>
                <w:rFonts w:cs="Arial"/>
                <w:szCs w:val="20"/>
              </w:rPr>
            </w:pPr>
          </w:p>
        </w:tc>
      </w:tr>
    </w:tbl>
    <w:p w:rsidR="00322396" w:rsidRPr="00D40DC4" w:rsidRDefault="00322396" w:rsidP="005A76C2">
      <w:pPr>
        <w:pStyle w:val="Cmsor4"/>
      </w:pPr>
      <w:bookmarkStart w:id="1031" w:name="_Toc428260610"/>
      <w:bookmarkStart w:id="1032" w:name="_Toc428280575"/>
      <w:bookmarkStart w:id="1033" w:name="_Toc428431204"/>
      <w:bookmarkStart w:id="1034" w:name="_Toc428432168"/>
      <w:bookmarkStart w:id="1035" w:name="_Toc428636750"/>
      <w:bookmarkStart w:id="1036" w:name="_Toc428772327"/>
      <w:bookmarkStart w:id="1037" w:name="_Toc428260621"/>
      <w:bookmarkStart w:id="1038" w:name="_Toc428280586"/>
      <w:bookmarkStart w:id="1039" w:name="_Toc428431215"/>
      <w:bookmarkStart w:id="1040" w:name="_Toc428432179"/>
      <w:bookmarkStart w:id="1041" w:name="_Toc428636761"/>
      <w:bookmarkStart w:id="1042" w:name="_Toc428772338"/>
      <w:bookmarkStart w:id="1043" w:name="_Toc428260637"/>
      <w:bookmarkStart w:id="1044" w:name="_Toc428280602"/>
      <w:bookmarkStart w:id="1045" w:name="_Toc428431231"/>
      <w:bookmarkStart w:id="1046" w:name="_Toc428432195"/>
      <w:bookmarkStart w:id="1047" w:name="_Toc428636777"/>
      <w:bookmarkStart w:id="1048" w:name="_Toc428772354"/>
      <w:bookmarkStart w:id="1049" w:name="_Toc428260645"/>
      <w:bookmarkStart w:id="1050" w:name="_Toc428280610"/>
      <w:bookmarkStart w:id="1051" w:name="_Toc428431239"/>
      <w:bookmarkStart w:id="1052" w:name="_Toc428432203"/>
      <w:bookmarkStart w:id="1053" w:name="_Toc428636785"/>
      <w:bookmarkStart w:id="1054" w:name="_Toc428772362"/>
      <w:bookmarkStart w:id="1055" w:name="_Toc428260653"/>
      <w:bookmarkStart w:id="1056" w:name="_Toc428280618"/>
      <w:bookmarkStart w:id="1057" w:name="_Toc428431247"/>
      <w:bookmarkStart w:id="1058" w:name="_Toc428432211"/>
      <w:bookmarkStart w:id="1059" w:name="_Toc428636793"/>
      <w:bookmarkStart w:id="1060" w:name="_Toc428772370"/>
      <w:bookmarkStart w:id="1061" w:name="_Toc428260661"/>
      <w:bookmarkStart w:id="1062" w:name="_Toc428280626"/>
      <w:bookmarkStart w:id="1063" w:name="_Toc428431255"/>
      <w:bookmarkStart w:id="1064" w:name="_Toc428432219"/>
      <w:bookmarkStart w:id="1065" w:name="_Toc428636801"/>
      <w:bookmarkStart w:id="1066" w:name="_Toc428772378"/>
      <w:bookmarkStart w:id="1067" w:name="_Toc428260669"/>
      <w:bookmarkStart w:id="1068" w:name="_Toc428280634"/>
      <w:bookmarkStart w:id="1069" w:name="_Toc428431263"/>
      <w:bookmarkStart w:id="1070" w:name="_Toc428432227"/>
      <w:bookmarkStart w:id="1071" w:name="_Toc428636809"/>
      <w:bookmarkStart w:id="1072" w:name="_Toc428772386"/>
      <w:bookmarkStart w:id="1073" w:name="_Toc428260677"/>
      <w:bookmarkStart w:id="1074" w:name="_Toc428280642"/>
      <w:bookmarkStart w:id="1075" w:name="_Toc428431271"/>
      <w:bookmarkStart w:id="1076" w:name="_Toc428432235"/>
      <w:bookmarkStart w:id="1077" w:name="_Toc428636817"/>
      <w:bookmarkStart w:id="1078" w:name="_Toc428772394"/>
      <w:bookmarkStart w:id="1079" w:name="_Toc428260685"/>
      <w:bookmarkStart w:id="1080" w:name="_Toc428280650"/>
      <w:bookmarkStart w:id="1081" w:name="_Toc428431279"/>
      <w:bookmarkStart w:id="1082" w:name="_Toc428432243"/>
      <w:bookmarkStart w:id="1083" w:name="_Toc428636825"/>
      <w:bookmarkStart w:id="1084" w:name="_Toc428772402"/>
      <w:bookmarkStart w:id="1085" w:name="_Toc428260693"/>
      <w:bookmarkStart w:id="1086" w:name="_Toc428280658"/>
      <w:bookmarkStart w:id="1087" w:name="_Toc428431287"/>
      <w:bookmarkStart w:id="1088" w:name="_Toc428432251"/>
      <w:bookmarkStart w:id="1089" w:name="_Toc428636833"/>
      <w:bookmarkStart w:id="1090" w:name="_Toc428772410"/>
      <w:bookmarkStart w:id="1091" w:name="_Toc428260701"/>
      <w:bookmarkStart w:id="1092" w:name="_Toc428280666"/>
      <w:bookmarkStart w:id="1093" w:name="_Toc428431295"/>
      <w:bookmarkStart w:id="1094" w:name="_Toc428432259"/>
      <w:bookmarkStart w:id="1095" w:name="_Toc428636841"/>
      <w:bookmarkStart w:id="1096" w:name="_Toc428772418"/>
      <w:bookmarkStart w:id="1097" w:name="_Toc428260709"/>
      <w:bookmarkStart w:id="1098" w:name="_Toc428280674"/>
      <w:bookmarkStart w:id="1099" w:name="_Toc428431303"/>
      <w:bookmarkStart w:id="1100" w:name="_Toc428432267"/>
      <w:bookmarkStart w:id="1101" w:name="_Toc428636849"/>
      <w:bookmarkStart w:id="1102" w:name="_Toc428772426"/>
      <w:bookmarkStart w:id="1103" w:name="_Toc428260717"/>
      <w:bookmarkStart w:id="1104" w:name="_Toc428280682"/>
      <w:bookmarkStart w:id="1105" w:name="_Toc428431311"/>
      <w:bookmarkStart w:id="1106" w:name="_Toc428432275"/>
      <w:bookmarkStart w:id="1107" w:name="_Toc428636857"/>
      <w:bookmarkStart w:id="1108" w:name="_Toc428772434"/>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sidRPr="00D40DC4">
        <w:t>A kockázat elfogadható szintjének becslése</w:t>
      </w:r>
      <w:bookmarkEnd w:id="1029"/>
      <w:r w:rsidRPr="00D40DC4">
        <w:t xml:space="preserve"> </w:t>
      </w:r>
    </w:p>
    <w:p w:rsidR="00322396" w:rsidRPr="00D40DC4" w:rsidRDefault="00322396" w:rsidP="00221929">
      <w:pPr>
        <w:rPr>
          <w:rFonts w:cs="Arial"/>
        </w:rPr>
      </w:pPr>
      <w:r w:rsidRPr="00D40DC4">
        <w:rPr>
          <w:rFonts w:cs="Arial"/>
        </w:rPr>
        <w:t>Gyakran a projektek értékelési jelentésében a nettó jelenérték és a belső megtérülési ráta mutatók a legjobb vagy az alapeset becsléseire vonatk</w:t>
      </w:r>
      <w:r w:rsidR="00D8487D" w:rsidRPr="00D40DC4">
        <w:rPr>
          <w:rFonts w:cs="Arial"/>
        </w:rPr>
        <w:t>oznak, talán a „legvalószínűbb”</w:t>
      </w:r>
      <w:r w:rsidRPr="00D40DC4">
        <w:rPr>
          <w:rFonts w:cs="Arial"/>
        </w:rPr>
        <w:t xml:space="preserve"> értékeket (vagy módot) értve alatta.  A projekt elfogadhatóságának kritériumaként azonban az indikátor várt értéke (vagy átlaga) tekintendő, melyet a kapcsolódó valószínűségi eloszlásból számítunk.  Például, ha egy projekt esetén az ERR 10%, de a kockázat elemzés azt jelzi, hogy az ERR 70%-os valószínűséggel 4 és 10 között alakul illetve 10 és 13 közötti érték valószínűsége 30%, akkor a projekt ERR várt értéke csak 8,35% [átlag (4,10)*0.7 + átlag(10,13)*0.3].</w:t>
      </w:r>
    </w:p>
    <w:p w:rsidR="00EB7FB9" w:rsidRPr="00D40DC4" w:rsidRDefault="00E65954" w:rsidP="00E65954">
      <w:pPr>
        <w:rPr>
          <w:rFonts w:cs="Arial"/>
        </w:rPr>
      </w:pPr>
      <w:bookmarkStart w:id="1109" w:name="_Toc240012033"/>
      <w:bookmarkStart w:id="1110" w:name="_Toc241657565"/>
      <w:bookmarkStart w:id="1111" w:name="_Toc228260785"/>
      <w:r w:rsidRPr="00D40DC4">
        <w:rPr>
          <w:rFonts w:cs="Arial"/>
        </w:rPr>
        <w:t xml:space="preserve">Következtetésképen megállapíthatjuk, hogy a fent bemutatott módszer lehetővé teszi, hogy a projekt kiválasztása ne csak a legjobb becslés alapján történjen, hanem az ehhez kapcsolódó kockázatot is vegye figyelembe, a teljesítménynek a kockázattal történő egyszerű súlyozásával. Alapelvként, a jelentős EU-támogatást igénylő projektek esetében a pénzügyi és közgazdasági teljesítménymutatók várható értékét kellene szerepeltetni. Az eredmény értékelése szempontjából igen nagy fontossággal bír a magas kockázatú, de jelentős társadalmi hasznot hozó projektek valamint az alacsony kockázatú és alacsony társadalmi hasznosságú projektek mérlegelése. Általában a kockázatokkal szembeni semleges megközelítés javasolt, mivel a közszféra több projekt kockázatát összevonhatja. Ilyen esetekben az ERR várható értéke összegezheti a kockázat értékelést. </w:t>
      </w:r>
    </w:p>
    <w:p w:rsidR="00E65954" w:rsidRPr="00D40DC4" w:rsidRDefault="00E65954" w:rsidP="00E65954">
      <w:pPr>
        <w:rPr>
          <w:rFonts w:cs="Arial"/>
        </w:rPr>
      </w:pPr>
      <w:r w:rsidRPr="00D40DC4">
        <w:rPr>
          <w:rFonts w:cs="Arial"/>
        </w:rPr>
        <w:lastRenderedPageBreak/>
        <w:t>Ugyanakkor bizonyos esetekben az értékelő vagy a javaslattevő a semleges megközelítéstől eltérhet, és a várható megtérülés mértékére tekintettel több vagy kevesebb kockázatot vállalhat, ugyanakkor az ilyen választásnak minden esetben egyértelműen igazolhatónak kell lennie.</w:t>
      </w:r>
    </w:p>
    <w:p w:rsidR="00322396" w:rsidRPr="00D40DC4" w:rsidRDefault="00322396" w:rsidP="00DD7E6C">
      <w:pPr>
        <w:pStyle w:val="Cmsor3"/>
      </w:pPr>
      <w:bookmarkStart w:id="1112" w:name="_Toc436923926"/>
      <w:r w:rsidRPr="00D40DC4">
        <w:t>Kockázatkezelési stratégia</w:t>
      </w:r>
      <w:bookmarkEnd w:id="1026"/>
      <w:bookmarkEnd w:id="1027"/>
      <w:bookmarkEnd w:id="1028"/>
      <w:bookmarkEnd w:id="1109"/>
      <w:bookmarkEnd w:id="1110"/>
      <w:bookmarkEnd w:id="1111"/>
      <w:bookmarkEnd w:id="1112"/>
    </w:p>
    <w:p w:rsidR="00322396" w:rsidRPr="00D40DC4" w:rsidRDefault="00E65954" w:rsidP="00221929">
      <w:pPr>
        <w:rPr>
          <w:rFonts w:cs="Arial"/>
        </w:rPr>
      </w:pPr>
      <w:r w:rsidRPr="00D40DC4">
        <w:rPr>
          <w:rFonts w:cs="Arial"/>
        </w:rPr>
        <w:t>A kockázatkezelés olyan összetett feladat, amely többféle kompetenciát és jelentős forrásokat igényel, és amelyet professzionális szakembernek kell ellátnia az érintett menedzselő hatóság és a kedvezményezett hatáskörében. Ugyanakkor a kockázatelemzés elvégzését követően a projekt kezdeményezőjének minimálisan meg kell állapítania azokat az intézkedéseket, amelyekkel a beazonosított kockázatok a nemzetközi legjobb gyakorlatnak megfelelően csökkenthetők.</w:t>
      </w:r>
    </w:p>
    <w:p w:rsidR="00322396" w:rsidRPr="00D40DC4" w:rsidRDefault="00322396" w:rsidP="00221929">
      <w:pPr>
        <w:rPr>
          <w:rFonts w:cs="Arial"/>
        </w:rPr>
      </w:pPr>
      <w:r w:rsidRPr="00D40DC4">
        <w:rPr>
          <w:rFonts w:cs="Arial"/>
        </w:rPr>
        <w:t>A kockázatok kezelésének főbb módszerei a következők (ezek együttesen is alkalmazhatók):</w:t>
      </w:r>
    </w:p>
    <w:p w:rsidR="00322396" w:rsidRPr="00D40DC4" w:rsidRDefault="00322396" w:rsidP="00221929">
      <w:pPr>
        <w:rPr>
          <w:rFonts w:cs="Arial"/>
          <w:b/>
        </w:rPr>
      </w:pPr>
      <w:r w:rsidRPr="00D40DC4">
        <w:rPr>
          <w:rFonts w:cs="Arial"/>
          <w:b/>
        </w:rPr>
        <w:t>Előkészítés alatti lehetséges kezelési stratégiák</w:t>
      </w:r>
    </w:p>
    <w:p w:rsidR="00322396" w:rsidRPr="00D40DC4" w:rsidRDefault="00322396" w:rsidP="006C5A6D">
      <w:pPr>
        <w:numPr>
          <w:ilvl w:val="0"/>
          <w:numId w:val="25"/>
        </w:numPr>
      </w:pPr>
      <w:r w:rsidRPr="00D40DC4">
        <w:t xml:space="preserve">Tartalékképzés a határidőkre és a költségekre </w:t>
      </w:r>
    </w:p>
    <w:p w:rsidR="00322396" w:rsidRPr="00D40DC4" w:rsidRDefault="00322396" w:rsidP="006C5A6D">
      <w:pPr>
        <w:numPr>
          <w:ilvl w:val="0"/>
          <w:numId w:val="25"/>
        </w:numPr>
      </w:pPr>
      <w:r w:rsidRPr="00D40DC4">
        <w:t xml:space="preserve">A kockázatok áthárítása, például különböző garanciális kötelezettségvállalásokkal, biztosítás vagy kezességvállalás útján történhet </w:t>
      </w:r>
    </w:p>
    <w:p w:rsidR="00322396" w:rsidRPr="00D40DC4" w:rsidRDefault="00322396" w:rsidP="006C5A6D">
      <w:pPr>
        <w:numPr>
          <w:ilvl w:val="0"/>
          <w:numId w:val="25"/>
        </w:numPr>
      </w:pPr>
      <w:r w:rsidRPr="00D40DC4">
        <w:t xml:space="preserve">A kockázat megosztása az érdekeltek között a bizonytalanság befolyásolási képessége alapján </w:t>
      </w:r>
    </w:p>
    <w:p w:rsidR="00886709" w:rsidRPr="00D40DC4" w:rsidRDefault="00886709" w:rsidP="006C5A6D">
      <w:pPr>
        <w:numPr>
          <w:ilvl w:val="0"/>
          <w:numId w:val="25"/>
        </w:numPr>
      </w:pPr>
      <w:bookmarkStart w:id="1113" w:name="_Toc159654328"/>
      <w:bookmarkStart w:id="1114" w:name="_Toc241657649"/>
      <w:bookmarkEnd w:id="961"/>
      <w:r w:rsidRPr="00D40DC4">
        <w:t>Üzemeltetővel való folyamatos egyeztetés</w:t>
      </w:r>
    </w:p>
    <w:p w:rsidR="00886709" w:rsidRPr="00D40DC4" w:rsidRDefault="00886709" w:rsidP="006C5A6D">
      <w:pPr>
        <w:numPr>
          <w:ilvl w:val="0"/>
          <w:numId w:val="25"/>
        </w:numPr>
      </w:pPr>
      <w:r w:rsidRPr="00D40DC4">
        <w:t xml:space="preserve">A kivitelezés időintervallumainak a kisforgalmú (késő tavasz – kora ősz) időszakra való tervezése </w:t>
      </w:r>
    </w:p>
    <w:p w:rsidR="00886709" w:rsidRPr="00D40DC4" w:rsidRDefault="00886709" w:rsidP="006C5A6D">
      <w:pPr>
        <w:numPr>
          <w:ilvl w:val="0"/>
          <w:numId w:val="25"/>
        </w:numPr>
      </w:pPr>
      <w:r w:rsidRPr="00D40DC4">
        <w:t>független közbeszerzési szakértők bevonása</w:t>
      </w:r>
    </w:p>
    <w:p w:rsidR="00886709" w:rsidRPr="00D40DC4" w:rsidRDefault="00886709" w:rsidP="00886709">
      <w:pPr>
        <w:rPr>
          <w:rFonts w:cs="Arial"/>
          <w:b/>
        </w:rPr>
      </w:pPr>
      <w:r w:rsidRPr="00D40DC4">
        <w:rPr>
          <w:rFonts w:cs="Arial"/>
          <w:b/>
        </w:rPr>
        <w:t>Megvalósítás alatti lehetséges kezelési stratégiák</w:t>
      </w:r>
    </w:p>
    <w:p w:rsidR="00886709" w:rsidRPr="00D40DC4" w:rsidRDefault="00886709" w:rsidP="006C5A6D">
      <w:pPr>
        <w:numPr>
          <w:ilvl w:val="0"/>
          <w:numId w:val="25"/>
        </w:numPr>
      </w:pPr>
      <w:r w:rsidRPr="00D40DC4">
        <w:t>A projekttől, vagy projektrészektől való elállás</w:t>
      </w:r>
    </w:p>
    <w:p w:rsidR="00886709" w:rsidRPr="00D40DC4" w:rsidRDefault="00886709" w:rsidP="006C5A6D">
      <w:pPr>
        <w:numPr>
          <w:ilvl w:val="0"/>
          <w:numId w:val="25"/>
        </w:numPr>
      </w:pPr>
      <w:r w:rsidRPr="00D40DC4">
        <w:t>Felelősség megosztáson alapuló szerződések kötése</w:t>
      </w:r>
    </w:p>
    <w:p w:rsidR="00886709" w:rsidRPr="00D40DC4" w:rsidRDefault="00886709" w:rsidP="006C5A6D">
      <w:pPr>
        <w:numPr>
          <w:ilvl w:val="0"/>
          <w:numId w:val="25"/>
        </w:numPr>
      </w:pPr>
      <w:r w:rsidRPr="00D40DC4">
        <w:t>Folyamatos költségkontroll</w:t>
      </w:r>
    </w:p>
    <w:p w:rsidR="00886709" w:rsidRPr="00D40DC4" w:rsidRDefault="00886709" w:rsidP="00886709">
      <w:pPr>
        <w:rPr>
          <w:rFonts w:cs="Arial"/>
        </w:rPr>
      </w:pPr>
      <w:r w:rsidRPr="00D40DC4">
        <w:rPr>
          <w:rFonts w:cs="Arial"/>
        </w:rPr>
        <w:t>A projekt értékelések során az előrejelzés egyik tipikus hibája a projekt értékelők körében előforduló tendencia, a túlzott optimizmusra hajlás a legfontosabb projekt paramétereket illetően: ezek a beruházás költségei, az elvégzendő munka időszükséglete, a működési költségek és hasznok (UK Treasury Green Book, 2003)</w:t>
      </w:r>
    </w:p>
    <w:p w:rsidR="00886709" w:rsidRPr="00D40DC4" w:rsidRDefault="00886709" w:rsidP="00886709">
      <w:pPr>
        <w:rPr>
          <w:rFonts w:cs="Arial"/>
        </w:rPr>
      </w:pPr>
      <w:r w:rsidRPr="00D40DC4">
        <w:rPr>
          <w:rFonts w:cs="Arial"/>
        </w:rPr>
        <w:t>Számos okra visszavezethető ez a túlzott optimizmusra való hajlam (lásd az alább bemutatott néhány példát a közlekedési projektekkel kapcsolatban.)</w:t>
      </w:r>
    </w:p>
    <w:p w:rsidR="00886709" w:rsidRPr="00D40DC4" w:rsidRDefault="002C4DE0" w:rsidP="00D20F91">
      <w:pPr>
        <w:pStyle w:val="Tblzat"/>
      </w:pPr>
      <w:r>
        <w:fldChar w:fldCharType="begin"/>
      </w:r>
      <w:r>
        <w:instrText xml:space="preserve"> SEQ táblázat \* ARABIC </w:instrText>
      </w:r>
      <w:r>
        <w:fldChar w:fldCharType="separate"/>
      </w:r>
      <w:bookmarkStart w:id="1115" w:name="_Toc436923974"/>
      <w:r w:rsidR="007B4938" w:rsidRPr="00D40DC4">
        <w:rPr>
          <w:noProof/>
        </w:rPr>
        <w:t>41</w:t>
      </w:r>
      <w:r>
        <w:rPr>
          <w:noProof/>
        </w:rPr>
        <w:fldChar w:fldCharType="end"/>
      </w:r>
      <w:r w:rsidR="00886709" w:rsidRPr="00D40DC4">
        <w:t>. táblázat: Az optimista elfogultság okai</w:t>
      </w:r>
      <w:bookmarkEnd w:id="1115"/>
    </w:p>
    <w:tbl>
      <w:tblPr>
        <w:tblW w:w="5000" w:type="pct"/>
        <w:tblLayout w:type="fixed"/>
        <w:tblCellMar>
          <w:left w:w="70" w:type="dxa"/>
          <w:right w:w="70" w:type="dxa"/>
        </w:tblCellMar>
        <w:tblLook w:val="0000" w:firstRow="0" w:lastRow="0" w:firstColumn="0" w:lastColumn="0" w:noHBand="0" w:noVBand="0"/>
      </w:tblPr>
      <w:tblGrid>
        <w:gridCol w:w="2297"/>
        <w:gridCol w:w="6915"/>
      </w:tblGrid>
      <w:tr w:rsidR="00886709" w:rsidRPr="00D40DC4" w:rsidTr="00773A2C">
        <w:trPr>
          <w:trHeight w:val="270"/>
          <w:tblHeader/>
        </w:trPr>
        <w:tc>
          <w:tcPr>
            <w:tcW w:w="1247" w:type="pct"/>
            <w:tcBorders>
              <w:top w:val="single" w:sz="8" w:space="0" w:color="auto"/>
              <w:left w:val="single" w:sz="8" w:space="0" w:color="auto"/>
              <w:bottom w:val="single" w:sz="4" w:space="0" w:color="auto"/>
              <w:right w:val="single" w:sz="8" w:space="0" w:color="auto"/>
            </w:tcBorders>
            <w:shd w:val="clear" w:color="auto" w:fill="99CCFF"/>
            <w:noWrap/>
            <w:vAlign w:val="center"/>
          </w:tcPr>
          <w:p w:rsidR="00886709" w:rsidRPr="00D40DC4" w:rsidRDefault="00886709" w:rsidP="00773A2C">
            <w:pPr>
              <w:spacing w:after="0"/>
              <w:jc w:val="center"/>
              <w:rPr>
                <w:rFonts w:cs="Arial"/>
                <w:b/>
                <w:szCs w:val="20"/>
              </w:rPr>
            </w:pPr>
            <w:r w:rsidRPr="00D40DC4">
              <w:rPr>
                <w:rFonts w:cs="Arial"/>
                <w:b/>
                <w:szCs w:val="20"/>
              </w:rPr>
              <w:t>Az optimista elfogultság okai</w:t>
            </w:r>
          </w:p>
        </w:tc>
        <w:tc>
          <w:tcPr>
            <w:tcW w:w="3753" w:type="pct"/>
            <w:tcBorders>
              <w:top w:val="single" w:sz="8" w:space="0" w:color="auto"/>
              <w:left w:val="nil"/>
              <w:bottom w:val="single" w:sz="8" w:space="0" w:color="auto"/>
              <w:right w:val="single" w:sz="4" w:space="0" w:color="auto"/>
            </w:tcBorders>
            <w:shd w:val="clear" w:color="auto" w:fill="99CCFF"/>
            <w:noWrap/>
            <w:vAlign w:val="center"/>
          </w:tcPr>
          <w:p w:rsidR="00886709" w:rsidRPr="00D40DC4" w:rsidRDefault="00886709" w:rsidP="00773A2C">
            <w:pPr>
              <w:spacing w:after="0"/>
              <w:jc w:val="center"/>
              <w:rPr>
                <w:rFonts w:cs="Arial"/>
                <w:b/>
                <w:szCs w:val="20"/>
              </w:rPr>
            </w:pPr>
            <w:r w:rsidRPr="00D40DC4">
              <w:rPr>
                <w:rFonts w:cs="Arial"/>
                <w:b/>
                <w:szCs w:val="20"/>
              </w:rPr>
              <w:t>Példák</w:t>
            </w:r>
          </w:p>
        </w:tc>
      </w:tr>
      <w:tr w:rsidR="00886709" w:rsidRPr="00D40DC4" w:rsidTr="00773A2C">
        <w:trPr>
          <w:trHeight w:val="255"/>
        </w:trPr>
        <w:tc>
          <w:tcPr>
            <w:tcW w:w="1247" w:type="pct"/>
            <w:tcBorders>
              <w:top w:val="nil"/>
              <w:left w:val="single" w:sz="8" w:space="0" w:color="auto"/>
              <w:bottom w:val="single" w:sz="4" w:space="0" w:color="auto"/>
              <w:right w:val="single" w:sz="8" w:space="0" w:color="auto"/>
            </w:tcBorders>
            <w:shd w:val="clear" w:color="auto" w:fill="FFFFFF"/>
            <w:vAlign w:val="center"/>
          </w:tcPr>
          <w:p w:rsidR="00886709" w:rsidRPr="00D40DC4" w:rsidRDefault="00886709" w:rsidP="00773A2C">
            <w:pPr>
              <w:spacing w:after="0"/>
              <w:rPr>
                <w:rFonts w:cs="Arial"/>
                <w:szCs w:val="20"/>
              </w:rPr>
            </w:pPr>
            <w:r w:rsidRPr="00D40DC4">
              <w:rPr>
                <w:rFonts w:cs="Arial"/>
                <w:szCs w:val="20"/>
              </w:rPr>
              <w:t>Műszaki okok</w:t>
            </w:r>
          </w:p>
        </w:tc>
        <w:tc>
          <w:tcPr>
            <w:tcW w:w="3753" w:type="pct"/>
            <w:tcBorders>
              <w:top w:val="nil"/>
              <w:left w:val="nil"/>
              <w:bottom w:val="single" w:sz="4" w:space="0" w:color="auto"/>
              <w:right w:val="single" w:sz="4" w:space="0" w:color="auto"/>
            </w:tcBorders>
            <w:shd w:val="clear" w:color="auto" w:fill="FFFFFF"/>
            <w:noWrap/>
            <w:vAlign w:val="center"/>
          </w:tcPr>
          <w:p w:rsidR="00886709" w:rsidRPr="00D40DC4" w:rsidRDefault="00886709" w:rsidP="00773A2C">
            <w:pPr>
              <w:spacing w:after="0"/>
              <w:rPr>
                <w:rFonts w:cs="Arial"/>
                <w:szCs w:val="20"/>
              </w:rPr>
            </w:pPr>
            <w:r w:rsidRPr="00D40DC4">
              <w:rPr>
                <w:rFonts w:cs="Arial"/>
                <w:szCs w:val="20"/>
              </w:rPr>
              <w:t>Az információ pontatlansága, mint például nem elérhető adatok, új, vagy nem bizonyított technológiák.</w:t>
            </w:r>
          </w:p>
          <w:p w:rsidR="00886709" w:rsidRPr="00D40DC4" w:rsidRDefault="00886709" w:rsidP="00773A2C">
            <w:pPr>
              <w:spacing w:after="0"/>
              <w:rPr>
                <w:rFonts w:cs="Arial"/>
                <w:szCs w:val="20"/>
              </w:rPr>
            </w:pPr>
            <w:r w:rsidRPr="00D40DC4">
              <w:rPr>
                <w:rFonts w:cs="Arial"/>
                <w:szCs w:val="20"/>
              </w:rPr>
              <w:t>Adatok körében történt változások, így pl. a sebesség, útszélesség, útvonal,  biztonság, környezeti előírások körében bekövetkezett változások.</w:t>
            </w:r>
          </w:p>
          <w:p w:rsidR="00886709" w:rsidRPr="00D40DC4" w:rsidRDefault="00886709" w:rsidP="00773A2C">
            <w:pPr>
              <w:spacing w:after="0"/>
              <w:rPr>
                <w:rFonts w:cs="Arial"/>
                <w:szCs w:val="20"/>
              </w:rPr>
            </w:pPr>
            <w:r w:rsidRPr="00D40DC4">
              <w:rPr>
                <w:rFonts w:cs="Arial"/>
                <w:szCs w:val="20"/>
              </w:rPr>
              <w:t>Menedzsment kérdések, így pl. a helytelen számítási eljárás, beszerzési kérdések, a kockázat megoszlása.</w:t>
            </w:r>
          </w:p>
        </w:tc>
      </w:tr>
      <w:tr w:rsidR="00886709" w:rsidRPr="00D40DC4" w:rsidTr="00773A2C">
        <w:trPr>
          <w:trHeight w:val="301"/>
        </w:trPr>
        <w:tc>
          <w:tcPr>
            <w:tcW w:w="1247" w:type="pct"/>
            <w:tcBorders>
              <w:top w:val="nil"/>
              <w:left w:val="single" w:sz="8" w:space="0" w:color="auto"/>
              <w:bottom w:val="single" w:sz="4" w:space="0" w:color="auto"/>
              <w:right w:val="single" w:sz="8" w:space="0" w:color="auto"/>
            </w:tcBorders>
            <w:shd w:val="clear" w:color="auto" w:fill="FFFFFF"/>
            <w:vAlign w:val="center"/>
          </w:tcPr>
          <w:p w:rsidR="00886709" w:rsidRPr="00D40DC4" w:rsidRDefault="00886709" w:rsidP="00773A2C">
            <w:pPr>
              <w:spacing w:after="0"/>
              <w:rPr>
                <w:rFonts w:cs="Arial"/>
                <w:szCs w:val="20"/>
              </w:rPr>
            </w:pPr>
            <w:r w:rsidRPr="00D40DC4">
              <w:rPr>
                <w:rFonts w:cs="Arial"/>
                <w:szCs w:val="20"/>
              </w:rPr>
              <w:t>Pszichológiai okok</w:t>
            </w:r>
          </w:p>
        </w:tc>
        <w:tc>
          <w:tcPr>
            <w:tcW w:w="3753" w:type="pct"/>
            <w:tcBorders>
              <w:top w:val="nil"/>
              <w:left w:val="nil"/>
              <w:bottom w:val="single" w:sz="4" w:space="0" w:color="auto"/>
              <w:right w:val="single" w:sz="4" w:space="0" w:color="auto"/>
            </w:tcBorders>
            <w:shd w:val="clear" w:color="auto" w:fill="FFFFFF"/>
            <w:noWrap/>
            <w:vAlign w:val="center"/>
          </w:tcPr>
          <w:p w:rsidR="00886709" w:rsidRPr="00D40DC4" w:rsidRDefault="00886709" w:rsidP="00773A2C">
            <w:pPr>
              <w:spacing w:after="0"/>
              <w:rPr>
                <w:rFonts w:cs="Arial"/>
                <w:szCs w:val="20"/>
              </w:rPr>
            </w:pPr>
            <w:r w:rsidRPr="00D40DC4">
              <w:rPr>
                <w:rFonts w:cs="Arial"/>
                <w:szCs w:val="20"/>
              </w:rPr>
              <w:t>Az optimizmusra való hajlam személyekben és szervezetekben egyaránt megjelenő tendenciája</w:t>
            </w:r>
          </w:p>
        </w:tc>
      </w:tr>
      <w:tr w:rsidR="00886709" w:rsidRPr="00D40DC4" w:rsidTr="00773A2C">
        <w:trPr>
          <w:trHeight w:val="263"/>
        </w:trPr>
        <w:tc>
          <w:tcPr>
            <w:tcW w:w="1247" w:type="pct"/>
            <w:tcBorders>
              <w:top w:val="single" w:sz="4" w:space="0" w:color="auto"/>
              <w:left w:val="single" w:sz="4" w:space="0" w:color="auto"/>
              <w:bottom w:val="single" w:sz="4" w:space="0" w:color="auto"/>
              <w:right w:val="single" w:sz="4" w:space="0" w:color="auto"/>
            </w:tcBorders>
            <w:shd w:val="clear" w:color="auto" w:fill="FFFFFF"/>
            <w:vAlign w:val="center"/>
          </w:tcPr>
          <w:p w:rsidR="00886709" w:rsidRPr="00D40DC4" w:rsidRDefault="00886709" w:rsidP="00773A2C">
            <w:pPr>
              <w:spacing w:after="0"/>
              <w:rPr>
                <w:rFonts w:cs="Arial"/>
                <w:szCs w:val="20"/>
              </w:rPr>
            </w:pPr>
            <w:r w:rsidRPr="00D40DC4">
              <w:rPr>
                <w:rFonts w:cs="Arial"/>
                <w:szCs w:val="20"/>
              </w:rPr>
              <w:t>Gazdasági okok</w:t>
            </w:r>
          </w:p>
        </w:tc>
        <w:tc>
          <w:tcPr>
            <w:tcW w:w="3753"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886709" w:rsidRPr="00D40DC4" w:rsidRDefault="00886709" w:rsidP="00773A2C">
            <w:pPr>
              <w:spacing w:after="0"/>
              <w:rPr>
                <w:rFonts w:cs="Arial"/>
                <w:szCs w:val="20"/>
              </w:rPr>
            </w:pPr>
            <w:r w:rsidRPr="00D40DC4">
              <w:rPr>
                <w:rFonts w:cs="Arial"/>
                <w:szCs w:val="20"/>
              </w:rPr>
              <w:t>Az építőipari cégek és a tanácsadók érdekeltek a projektek előrehaladásában</w:t>
            </w:r>
          </w:p>
        </w:tc>
      </w:tr>
      <w:tr w:rsidR="00886709" w:rsidRPr="00D40DC4" w:rsidTr="00773A2C">
        <w:trPr>
          <w:trHeight w:val="263"/>
        </w:trPr>
        <w:tc>
          <w:tcPr>
            <w:tcW w:w="1247" w:type="pct"/>
            <w:tcBorders>
              <w:top w:val="single" w:sz="4" w:space="0" w:color="auto"/>
              <w:left w:val="single" w:sz="4" w:space="0" w:color="auto"/>
              <w:bottom w:val="single" w:sz="4" w:space="0" w:color="auto"/>
              <w:right w:val="single" w:sz="4" w:space="0" w:color="auto"/>
            </w:tcBorders>
            <w:shd w:val="clear" w:color="auto" w:fill="FFFFFF"/>
            <w:vAlign w:val="center"/>
          </w:tcPr>
          <w:p w:rsidR="00886709" w:rsidRPr="00D40DC4" w:rsidRDefault="00886709" w:rsidP="00773A2C">
            <w:pPr>
              <w:spacing w:after="0"/>
              <w:rPr>
                <w:rFonts w:cs="Arial"/>
                <w:szCs w:val="20"/>
              </w:rPr>
            </w:pPr>
            <w:r w:rsidRPr="00D40DC4">
              <w:rPr>
                <w:rFonts w:cs="Arial"/>
                <w:szCs w:val="20"/>
              </w:rPr>
              <w:t>Politikai, intézményi okok</w:t>
            </w:r>
          </w:p>
        </w:tc>
        <w:tc>
          <w:tcPr>
            <w:tcW w:w="3753"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886709" w:rsidRPr="00D40DC4" w:rsidRDefault="00886709" w:rsidP="00773A2C">
            <w:pPr>
              <w:spacing w:after="0"/>
              <w:rPr>
                <w:rFonts w:cs="Arial"/>
                <w:szCs w:val="20"/>
              </w:rPr>
            </w:pPr>
            <w:r w:rsidRPr="00D40DC4">
              <w:rPr>
                <w:rFonts w:cs="Arial"/>
                <w:szCs w:val="20"/>
              </w:rPr>
              <w:t>Érdekek, hatalom és intézmények;</w:t>
            </w:r>
          </w:p>
          <w:p w:rsidR="00886709" w:rsidRPr="00D40DC4" w:rsidRDefault="00886709" w:rsidP="00773A2C">
            <w:pPr>
              <w:spacing w:after="0"/>
              <w:rPr>
                <w:rFonts w:cs="Arial"/>
                <w:szCs w:val="20"/>
              </w:rPr>
            </w:pPr>
            <w:r w:rsidRPr="00D40DC4">
              <w:rPr>
                <w:rFonts w:cs="Arial"/>
                <w:szCs w:val="20"/>
              </w:rPr>
              <w:t>A szereplők esetenként tudatosan hazudnak annak érdekében, hogy projektjeik, érdekeik megvalósulhassanak.</w:t>
            </w:r>
          </w:p>
        </w:tc>
      </w:tr>
    </w:tbl>
    <w:p w:rsidR="00886709" w:rsidRPr="00D40DC4" w:rsidRDefault="00886709" w:rsidP="00886709">
      <w:pPr>
        <w:rPr>
          <w:rFonts w:cs="Arial"/>
        </w:rPr>
      </w:pPr>
      <w:r w:rsidRPr="00D40DC4">
        <w:rPr>
          <w:rFonts w:cs="Arial"/>
        </w:rPr>
        <w:t>Forrás: UK Treasury Green Book 2003</w:t>
      </w:r>
    </w:p>
    <w:p w:rsidR="00EB7FB9" w:rsidRPr="00D40DC4" w:rsidRDefault="00EB7FB9" w:rsidP="00886709">
      <w:pPr>
        <w:rPr>
          <w:rFonts w:cs="Arial"/>
        </w:rPr>
      </w:pPr>
    </w:p>
    <w:p w:rsidR="00886709" w:rsidRPr="00D40DC4" w:rsidRDefault="00886709" w:rsidP="00886709">
      <w:pPr>
        <w:rPr>
          <w:rFonts w:cs="Arial"/>
        </w:rPr>
      </w:pPr>
      <w:r w:rsidRPr="00D40DC4">
        <w:rPr>
          <w:rFonts w:cs="Arial"/>
        </w:rPr>
        <w:lastRenderedPageBreak/>
        <w:t xml:space="preserve">A kockázat mértéke nem azonos a projekt megvalósításának teljes időtartama alatt.  A múltban szerzett tapasztalatok bizonyítják, hogy a szakirodalomban általánosan elfogadott tény, hogy a projekt legkockázatosabb szakasza az indulás időszaka. A beruházási költségek legnagyobb része ebben a szakaszban merül fel, ugyanakkor üzemeltetési szempontból ekkor még nem kapunk semmiféle visszajelzést. Amikor a beruházás üzemi /működési fázisba lép, az érintett kockázat csökken, mivel a visszajelzés egyre nyilvánvalóbbá válik.  </w:t>
      </w:r>
    </w:p>
    <w:p w:rsidR="00886709" w:rsidRPr="00D40DC4" w:rsidRDefault="002C4DE0" w:rsidP="00E8437F">
      <w:r>
        <w:fldChar w:fldCharType="begin"/>
      </w:r>
      <w:r>
        <w:instrText xml:space="preserve"> SEQ ábra \* ARABIC </w:instrText>
      </w:r>
      <w:r>
        <w:fldChar w:fldCharType="separate"/>
      </w:r>
      <w:bookmarkStart w:id="1116" w:name="_Toc436923933"/>
      <w:r w:rsidR="007B4938" w:rsidRPr="00D40DC4">
        <w:rPr>
          <w:noProof/>
        </w:rPr>
        <w:t>7</w:t>
      </w:r>
      <w:r>
        <w:rPr>
          <w:noProof/>
        </w:rPr>
        <w:fldChar w:fldCharType="end"/>
      </w:r>
      <w:bookmarkStart w:id="1117" w:name="_Toc426985512"/>
      <w:r w:rsidR="00886709" w:rsidRPr="00D40DC4">
        <w:t>. ábra: Kockázati szintek az adott infrastruktúra projekt különböző fázisaiban</w:t>
      </w:r>
      <w:bookmarkEnd w:id="1116"/>
      <w:bookmarkEnd w:id="1117"/>
    </w:p>
    <w:p w:rsidR="00886709" w:rsidRPr="00D40DC4" w:rsidRDefault="00886709" w:rsidP="00886709">
      <w:pPr>
        <w:rPr>
          <w:rFonts w:cs="Arial"/>
        </w:rPr>
      </w:pPr>
      <w:r w:rsidRPr="00D40DC4">
        <w:rPr>
          <w:rFonts w:cs="Arial"/>
          <w:noProof/>
          <w:lang w:eastAsia="hu-HU"/>
        </w:rPr>
        <w:drawing>
          <wp:inline distT="0" distB="0" distL="0" distR="0" wp14:anchorId="39488279" wp14:editId="2DC2290F">
            <wp:extent cx="5702061" cy="3500382"/>
            <wp:effectExtent l="0" t="0" r="0" b="508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0331" cy="3511598"/>
                    </a:xfrm>
                    <a:prstGeom prst="rect">
                      <a:avLst/>
                    </a:prstGeom>
                    <a:noFill/>
                    <a:ln>
                      <a:noFill/>
                    </a:ln>
                  </pic:spPr>
                </pic:pic>
              </a:graphicData>
            </a:graphic>
          </wp:inline>
        </w:drawing>
      </w:r>
    </w:p>
    <w:p w:rsidR="00886709" w:rsidRPr="00D40DC4" w:rsidRDefault="00886709" w:rsidP="00886709">
      <w:pPr>
        <w:rPr>
          <w:rFonts w:cs="Arial"/>
          <w:i/>
          <w:w w:val="108"/>
        </w:rPr>
      </w:pPr>
      <w:r w:rsidRPr="00D40DC4">
        <w:rPr>
          <w:rFonts w:cs="Arial"/>
          <w:i/>
          <w:w w:val="108"/>
        </w:rPr>
        <w:t>Forrás: OECD TI/1, 2007</w:t>
      </w:r>
    </w:p>
    <w:p w:rsidR="00886709" w:rsidRPr="00D40DC4" w:rsidRDefault="00886709" w:rsidP="00886709">
      <w:pPr>
        <w:rPr>
          <w:rFonts w:cs="Arial"/>
        </w:rPr>
      </w:pPr>
      <w:r w:rsidRPr="00D40DC4">
        <w:rPr>
          <w:rFonts w:cs="Arial"/>
        </w:rPr>
        <w:t>A költségkeret túllépése és/vagy a hasznok elmaradása a várakozástól azaz, az optimista elfogultság  különböző, egymástól eltérő tényezők eredménye:</w:t>
      </w:r>
    </w:p>
    <w:p w:rsidR="00886709" w:rsidRPr="00D40DC4" w:rsidRDefault="00886709" w:rsidP="006F2748">
      <w:pPr>
        <w:numPr>
          <w:ilvl w:val="0"/>
          <w:numId w:val="44"/>
        </w:numPr>
      </w:pPr>
      <w:r w:rsidRPr="00D40DC4">
        <w:t>Többszereplős döntéshozatal és tervezés</w:t>
      </w:r>
    </w:p>
    <w:p w:rsidR="00886709" w:rsidRPr="00D40DC4" w:rsidRDefault="00886709" w:rsidP="006F2748">
      <w:pPr>
        <w:numPr>
          <w:ilvl w:val="0"/>
          <w:numId w:val="44"/>
        </w:numPr>
      </w:pPr>
      <w:r w:rsidRPr="00D40DC4">
        <w:t>szabványostól eltérő technológiák</w:t>
      </w:r>
    </w:p>
    <w:p w:rsidR="00886709" w:rsidRPr="00D40DC4" w:rsidRDefault="00886709" w:rsidP="006F2748">
      <w:pPr>
        <w:numPr>
          <w:ilvl w:val="0"/>
          <w:numId w:val="44"/>
        </w:numPr>
      </w:pPr>
      <w:r w:rsidRPr="00D40DC4">
        <w:t xml:space="preserve">hosszú tervezési időszak, komplex határfelületek </w:t>
      </w:r>
    </w:p>
    <w:p w:rsidR="00886709" w:rsidRPr="00D40DC4" w:rsidRDefault="00886709" w:rsidP="006F2748">
      <w:pPr>
        <w:numPr>
          <w:ilvl w:val="0"/>
          <w:numId w:val="44"/>
        </w:numPr>
      </w:pPr>
      <w:r w:rsidRPr="00D40DC4">
        <w:t>a projekt tárgyának és célkitűzésének megváltozása;</w:t>
      </w:r>
    </w:p>
    <w:p w:rsidR="00886709" w:rsidRPr="00D40DC4" w:rsidRDefault="00886709" w:rsidP="006F2748">
      <w:pPr>
        <w:numPr>
          <w:ilvl w:val="0"/>
          <w:numId w:val="44"/>
        </w:numPr>
      </w:pPr>
      <w:r w:rsidRPr="00D40DC4">
        <w:t>előre nem tervezett események</w:t>
      </w:r>
    </w:p>
    <w:p w:rsidR="00886709" w:rsidRPr="00D40DC4" w:rsidRDefault="00886709" w:rsidP="00886709">
      <w:pPr>
        <w:rPr>
          <w:rFonts w:cs="Arial"/>
        </w:rPr>
      </w:pPr>
      <w:r w:rsidRPr="00D40DC4">
        <w:rPr>
          <w:rFonts w:cs="Arial"/>
        </w:rPr>
        <w:t>A költségkeret túllépése és a bevételek elmaradása a források alacsony hatékonyságú felhasználásához vezet, valamint a késedelemhez, és további költségkeret túllépéséhez és haszon elmaradásához</w:t>
      </w:r>
      <w:r w:rsidRPr="00D40DC4">
        <w:rPr>
          <w:rFonts w:cs="Arial"/>
          <w:spacing w:val="-3"/>
        </w:rPr>
        <w:t>.</w:t>
      </w:r>
    </w:p>
    <w:p w:rsidR="00886709" w:rsidRPr="00D40DC4" w:rsidRDefault="00886709" w:rsidP="00886709">
      <w:pPr>
        <w:rPr>
          <w:rFonts w:cs="Arial"/>
        </w:rPr>
      </w:pPr>
      <w:r w:rsidRPr="00D40DC4">
        <w:rPr>
          <w:rFonts w:cs="Arial"/>
        </w:rPr>
        <w:t xml:space="preserve">Az „optimista elfogultság” szintjének minimálisra csökkentése érdekében bizonyos módosításokat kell végrehajtani, így növelni kell a becsült költséget, és csökkenteni vagy késleltetni kell a becsült hasznokat. Ezeket a módosításokat empirikus alapon kell végrehajtani, például múltbeli adatokat vagy hasonló projektek adatait felhasználva összehasonlítási alapként. </w:t>
      </w:r>
    </w:p>
    <w:p w:rsidR="00886709" w:rsidRPr="00A462DE" w:rsidRDefault="00886709" w:rsidP="00886709">
      <w:pPr>
        <w:rPr>
          <w:rFonts w:cs="Arial"/>
        </w:rPr>
      </w:pPr>
      <w:r w:rsidRPr="00D40DC4">
        <w:rPr>
          <w:rFonts w:cs="Arial"/>
        </w:rPr>
        <w:t>Az „optimista elfogultság” miatt végrehajtott korrekció jobb becsléseket eredményez az értékelési folyamat korai szakaszában. Ugyanakkor ezek a korrekciók nem felelnek meg kockázatbecslésként.  Sokkal inkább olyan kiinduló pontok, amelynek alapján a kockázatelemzés elvégezhető, amely elméletileg minden szükséges tényezőt tartalmaz, ha a várható mutatókat megfelelő pontossággal kezeltük. A kockázatelemzés a kockázatkezelés alapja, mely magába foglalja a kockázatok csökkentésére alkalmas stratégiák meghatározását, beleértve annak meghatározását, hogy hogyan rendeljük a kockázatot az érintett felekhez és milyen kockázatot érdemes átadni profi kockázatkezelő cégnek, így pl. biztosító társaságnak.</w:t>
      </w:r>
      <w:bookmarkEnd w:id="1113"/>
      <w:bookmarkEnd w:id="1114"/>
    </w:p>
    <w:sectPr w:rsidR="00886709" w:rsidRPr="00A462DE" w:rsidSect="00BF43C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DE0" w:rsidRDefault="002C4DE0" w:rsidP="00221929">
      <w:r>
        <w:separator/>
      </w:r>
    </w:p>
    <w:p w:rsidR="002C4DE0" w:rsidRDefault="002C4DE0"/>
  </w:endnote>
  <w:endnote w:type="continuationSeparator" w:id="0">
    <w:p w:rsidR="002C4DE0" w:rsidRDefault="002C4DE0" w:rsidP="00221929">
      <w:r>
        <w:continuationSeparator/>
      </w:r>
    </w:p>
    <w:p w:rsidR="002C4DE0" w:rsidRDefault="002C4DE0"/>
  </w:endnote>
  <w:endnote w:type="continuationNotice" w:id="1">
    <w:p w:rsidR="002C4DE0" w:rsidRDefault="002C4D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HelveticaLight">
    <w:altName w:val="Courier New"/>
    <w:charset w:val="EE"/>
    <w:family w:val="auto"/>
    <w:pitch w:val="variable"/>
    <w:sig w:usb0="00000007" w:usb1="00000000" w:usb2="00000000" w:usb3="00000000" w:csb0="0000001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364352"/>
      <w:docPartObj>
        <w:docPartGallery w:val="Page Numbers (Bottom of Page)"/>
        <w:docPartUnique/>
      </w:docPartObj>
    </w:sdtPr>
    <w:sdtEndPr/>
    <w:sdtContent>
      <w:p w:rsidR="00657272" w:rsidRDefault="00657272">
        <w:pPr>
          <w:jc w:val="right"/>
        </w:pPr>
        <w:r>
          <w:fldChar w:fldCharType="begin"/>
        </w:r>
        <w:r>
          <w:instrText>PAGE   \* MERGEFORMAT</w:instrText>
        </w:r>
        <w:r>
          <w:fldChar w:fldCharType="separate"/>
        </w:r>
        <w:r w:rsidR="00751D41">
          <w:rPr>
            <w:noProof/>
          </w:rPr>
          <w:t>8</w:t>
        </w:r>
        <w:r>
          <w:fldChar w:fldCharType="end"/>
        </w:r>
      </w:p>
    </w:sdtContent>
  </w:sdt>
  <w:p w:rsidR="00657272" w:rsidRDefault="006572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272" w:rsidRDefault="00657272">
    <w:pPr>
      <w:jc w:val="right"/>
    </w:pPr>
  </w:p>
  <w:p w:rsidR="00657272" w:rsidRDefault="0060320F">
    <w:r>
      <w:rPr>
        <w:noProof/>
        <w:lang w:eastAsia="hu-HU"/>
      </w:rPr>
      <w:drawing>
        <wp:inline distT="0" distB="0" distL="0" distR="0" wp14:anchorId="5638AB64" wp14:editId="5713F9BD">
          <wp:extent cx="1903095" cy="638175"/>
          <wp:effectExtent l="0" t="0" r="1905" b="9525"/>
          <wp:docPr id="2" name="Kép 2"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foblokk_2020_ESB_Alapok_3C"/>
                  <pic:cNvPicPr>
                    <a:picLocks noChangeAspect="1" noChangeArrowheads="1"/>
                  </pic:cNvPicPr>
                </pic:nvPicPr>
                <pic:blipFill>
                  <a:blip r:embed="rId1">
                    <a:extLst>
                      <a:ext uri="{28A0092B-C50C-407E-A947-70E740481C1C}">
                        <a14:useLocalDpi xmlns:a14="http://schemas.microsoft.com/office/drawing/2010/main" val="0"/>
                      </a:ext>
                    </a:extLst>
                  </a:blip>
                  <a:srcRect l="5736" t="16278" r="5939" b="12515"/>
                  <a:stretch>
                    <a:fillRect/>
                  </a:stretch>
                </pic:blipFill>
                <pic:spPr bwMode="auto">
                  <a:xfrm>
                    <a:off x="0" y="0"/>
                    <a:ext cx="1903095" cy="6381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906605"/>
      <w:docPartObj>
        <w:docPartGallery w:val="Page Numbers (Bottom of Page)"/>
        <w:docPartUnique/>
      </w:docPartObj>
    </w:sdtPr>
    <w:sdtEndPr/>
    <w:sdtContent>
      <w:p w:rsidR="00657272" w:rsidRDefault="00657272">
        <w:pPr>
          <w:jc w:val="right"/>
        </w:pPr>
        <w:r>
          <w:fldChar w:fldCharType="begin"/>
        </w:r>
        <w:r>
          <w:instrText>PAGE   \* MERGEFORMAT</w:instrText>
        </w:r>
        <w:r>
          <w:fldChar w:fldCharType="separate"/>
        </w:r>
        <w:r w:rsidR="00D40DC4">
          <w:rPr>
            <w:noProof/>
          </w:rPr>
          <w:t>10</w:t>
        </w:r>
        <w:r>
          <w:fldChar w:fldCharType="end"/>
        </w:r>
      </w:p>
    </w:sdtContent>
  </w:sdt>
  <w:p w:rsidR="00657272" w:rsidRDefault="0065727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95566"/>
      <w:docPartObj>
        <w:docPartGallery w:val="Page Numbers (Bottom of Page)"/>
        <w:docPartUnique/>
      </w:docPartObj>
    </w:sdtPr>
    <w:sdtEndPr/>
    <w:sdtContent>
      <w:p w:rsidR="00657272" w:rsidRDefault="00657272">
        <w:pPr>
          <w:jc w:val="right"/>
        </w:pPr>
        <w:r>
          <w:fldChar w:fldCharType="begin"/>
        </w:r>
        <w:r>
          <w:instrText>PAGE   \* MERGEFORMAT</w:instrText>
        </w:r>
        <w:r>
          <w:fldChar w:fldCharType="separate"/>
        </w:r>
        <w:r w:rsidR="00751D41">
          <w:rPr>
            <w:noProof/>
          </w:rPr>
          <w:t>9</w:t>
        </w:r>
        <w:r>
          <w:fldChar w:fldCharType="end"/>
        </w:r>
      </w:p>
    </w:sdtContent>
  </w:sdt>
  <w:p w:rsidR="00657272" w:rsidRDefault="0065727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329462"/>
      <w:docPartObj>
        <w:docPartGallery w:val="Page Numbers (Bottom of Page)"/>
        <w:docPartUnique/>
      </w:docPartObj>
    </w:sdtPr>
    <w:sdtEndPr/>
    <w:sdtContent>
      <w:p w:rsidR="00657272" w:rsidRDefault="00657272">
        <w:pPr>
          <w:jc w:val="right"/>
        </w:pPr>
        <w:r>
          <w:fldChar w:fldCharType="begin"/>
        </w:r>
        <w:r>
          <w:instrText>PAGE   \* MERGEFORMAT</w:instrText>
        </w:r>
        <w:r>
          <w:fldChar w:fldCharType="separate"/>
        </w:r>
        <w:r w:rsidR="00751D41">
          <w:rPr>
            <w:noProof/>
          </w:rPr>
          <w:t>67</w:t>
        </w:r>
        <w:r>
          <w:fldChar w:fldCharType="end"/>
        </w:r>
      </w:p>
    </w:sdtContent>
  </w:sdt>
  <w:p w:rsidR="00657272" w:rsidRDefault="0065727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881719"/>
      <w:docPartObj>
        <w:docPartGallery w:val="Page Numbers (Bottom of Page)"/>
        <w:docPartUnique/>
      </w:docPartObj>
    </w:sdtPr>
    <w:sdtEndPr/>
    <w:sdtContent>
      <w:p w:rsidR="00657272" w:rsidRDefault="00657272">
        <w:pPr>
          <w:jc w:val="right"/>
        </w:pPr>
        <w:r>
          <w:rPr>
            <w:noProof/>
            <w:lang w:eastAsia="hu-HU"/>
          </w:rPr>
          <w:drawing>
            <wp:anchor distT="0" distB="0" distL="114300" distR="114300" simplePos="0" relativeHeight="251658242" behindDoc="1" locked="0" layoutInCell="1" allowOverlap="1" wp14:anchorId="02DD773A" wp14:editId="05338DF1">
              <wp:simplePos x="0" y="0"/>
              <wp:positionH relativeFrom="page">
                <wp:posOffset>42545</wp:posOffset>
              </wp:positionH>
              <wp:positionV relativeFrom="bottomMargin">
                <wp:posOffset>1581150</wp:posOffset>
              </wp:positionV>
              <wp:extent cx="4027170" cy="879475"/>
              <wp:effectExtent l="0" t="0" r="0" b="0"/>
              <wp:wrapNone/>
              <wp:docPr id="8"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pic:cNvPicPr>
                        <a:picLocks noChangeAspect="1" noChangeArrowheads="1"/>
                      </pic:cNvPicPr>
                    </pic:nvPicPr>
                    <pic:blipFill rotWithShape="1">
                      <a:blip r:embed="rId1">
                        <a:extLst>
                          <a:ext uri="{28A0092B-C50C-407E-A947-70E740481C1C}">
                            <a14:useLocalDpi xmlns:a14="http://schemas.microsoft.com/office/drawing/2010/main" val="0"/>
                          </a:ext>
                        </a:extLst>
                      </a:blip>
                      <a:srcRect t="18530"/>
                      <a:stretch/>
                    </pic:blipFill>
                    <pic:spPr bwMode="auto">
                      <a:xfrm>
                        <a:off x="0" y="0"/>
                        <a:ext cx="4027170" cy="879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751D41">
          <w:rPr>
            <w:noProof/>
          </w:rPr>
          <w:t>10</w:t>
        </w:r>
        <w:r>
          <w:fldChar w:fldCharType="end"/>
        </w:r>
      </w:p>
    </w:sdtContent>
  </w:sdt>
  <w:p w:rsidR="00657272" w:rsidRDefault="0065727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434640"/>
      <w:docPartObj>
        <w:docPartGallery w:val="Page Numbers (Bottom of Page)"/>
        <w:docPartUnique/>
      </w:docPartObj>
    </w:sdtPr>
    <w:sdtEndPr/>
    <w:sdtContent>
      <w:p w:rsidR="00657272" w:rsidRDefault="00657272">
        <w:pPr>
          <w:jc w:val="right"/>
        </w:pPr>
        <w:r>
          <w:rPr>
            <w:noProof/>
            <w:lang w:eastAsia="hu-HU"/>
          </w:rPr>
          <w:drawing>
            <wp:anchor distT="0" distB="0" distL="114300" distR="114300" simplePos="0" relativeHeight="251658240" behindDoc="1" locked="0" layoutInCell="1" allowOverlap="1" wp14:anchorId="12F8107E" wp14:editId="519D63FA">
              <wp:simplePos x="0" y="0"/>
              <wp:positionH relativeFrom="page">
                <wp:align>left</wp:align>
              </wp:positionH>
              <wp:positionV relativeFrom="page">
                <wp:posOffset>6764655</wp:posOffset>
              </wp:positionV>
              <wp:extent cx="4027170" cy="879475"/>
              <wp:effectExtent l="0" t="0" r="0" b="0"/>
              <wp:wrapNone/>
              <wp:docPr id="2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pic:cNvPicPr>
                        <a:picLocks noChangeAspect="1" noChangeArrowheads="1"/>
                      </pic:cNvPicPr>
                    </pic:nvPicPr>
                    <pic:blipFill rotWithShape="1">
                      <a:blip r:embed="rId1">
                        <a:extLst>
                          <a:ext uri="{28A0092B-C50C-407E-A947-70E740481C1C}">
                            <a14:useLocalDpi xmlns:a14="http://schemas.microsoft.com/office/drawing/2010/main" val="0"/>
                          </a:ext>
                        </a:extLst>
                      </a:blip>
                      <a:srcRect t="18530"/>
                      <a:stretch/>
                    </pic:blipFill>
                    <pic:spPr bwMode="auto">
                      <a:xfrm>
                        <a:off x="0" y="0"/>
                        <a:ext cx="4027170" cy="879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751D41">
          <w:rPr>
            <w:noProof/>
          </w:rPr>
          <w:t>23</w:t>
        </w:r>
        <w:r>
          <w:fldChar w:fldCharType="end"/>
        </w:r>
      </w:p>
    </w:sdtContent>
  </w:sdt>
  <w:p w:rsidR="00657272" w:rsidRDefault="00657272" w:rsidP="00DB626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032704"/>
      <w:docPartObj>
        <w:docPartGallery w:val="Page Numbers (Bottom of Page)"/>
        <w:docPartUnique/>
      </w:docPartObj>
    </w:sdtPr>
    <w:sdtEndPr/>
    <w:sdtContent>
      <w:p w:rsidR="00657272" w:rsidRDefault="00657272">
        <w:pPr>
          <w:jc w:val="right"/>
        </w:pPr>
        <w:r>
          <w:fldChar w:fldCharType="begin"/>
        </w:r>
        <w:r>
          <w:instrText>PAGE   \* MERGEFORMAT</w:instrText>
        </w:r>
        <w:r>
          <w:fldChar w:fldCharType="separate"/>
        </w:r>
        <w:r w:rsidR="00751D41">
          <w:rPr>
            <w:noProof/>
          </w:rPr>
          <w:t>69</w:t>
        </w:r>
        <w:r>
          <w:fldChar w:fldCharType="end"/>
        </w:r>
      </w:p>
    </w:sdtContent>
  </w:sdt>
  <w:p w:rsidR="00657272" w:rsidRDefault="00657272" w:rsidP="00DB62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DE0" w:rsidRDefault="002C4DE0" w:rsidP="00221929">
      <w:r>
        <w:separator/>
      </w:r>
    </w:p>
    <w:p w:rsidR="002C4DE0" w:rsidRDefault="002C4DE0"/>
  </w:footnote>
  <w:footnote w:type="continuationSeparator" w:id="0">
    <w:p w:rsidR="002C4DE0" w:rsidRDefault="002C4DE0" w:rsidP="00221929">
      <w:r>
        <w:continuationSeparator/>
      </w:r>
    </w:p>
    <w:p w:rsidR="002C4DE0" w:rsidRDefault="002C4DE0"/>
  </w:footnote>
  <w:footnote w:type="continuationNotice" w:id="1">
    <w:p w:rsidR="002C4DE0" w:rsidRDefault="002C4DE0">
      <w:pPr>
        <w:spacing w:after="0"/>
      </w:pPr>
    </w:p>
  </w:footnote>
  <w:footnote w:id="2">
    <w:p w:rsidR="00657272" w:rsidRDefault="00657272">
      <w:r>
        <w:footnoteRef/>
      </w:r>
      <w:r>
        <w:t xml:space="preserve"> </w:t>
      </w:r>
      <w:r w:rsidRPr="00A65171">
        <w:rPr>
          <w:rStyle w:val="LbjegyzetszvegChar"/>
          <w:rFonts w:eastAsiaTheme="minorHAnsi"/>
        </w:rPr>
        <w:t>A korábbi CBA útmutatóban fejlesztési különbözet módszerként volt fordítva az incremental method, amelyet a az EU jogszabályok fordításai különbözeti módszerként nevesítenek.</w:t>
      </w:r>
    </w:p>
  </w:footnote>
  <w:footnote w:id="3">
    <w:p w:rsidR="00657272" w:rsidRPr="0035415C" w:rsidRDefault="00657272" w:rsidP="00E0288A">
      <w:pPr>
        <w:pStyle w:val="Lbjegyzetszveg"/>
      </w:pPr>
      <w:r w:rsidRPr="00E0288A">
        <w:rPr>
          <w:vertAlign w:val="superscript"/>
        </w:rPr>
        <w:footnoteRef/>
      </w:r>
      <w:r w:rsidRPr="00E0288A">
        <w:rPr>
          <w:vertAlign w:val="superscript"/>
        </w:rPr>
        <w:t xml:space="preserve"> </w:t>
      </w:r>
      <w:r w:rsidRPr="00A65171">
        <w:t>Bizonyos körülmények között célszerű a „minimális esetet” (do-minimum) vizsgálni a normál működéssel (business as usual) összevetve. Ez a normál üzemeltetési és fenntartási költségeken felül bizonyos beruházási költségek felmerülését is feltételezi, így például egy működő infrastruktúra részleges modernizációjának költségeit (állagmegóvás, vagy a szankciók elkerülése érdekében felmerülő költségek). Bizonyos esetekben például a közcélú beruházási projekteket az új jogszabályoknak való megfelelés motiválja. Ebben az esetben a “minimális eset” (do-minimum) az a legkevesebb költséggel járó megoldás, amely biztosítja a jogszabályi megfelelést.</w:t>
      </w:r>
      <w:r w:rsidRPr="0035415C">
        <w:t xml:space="preserve"> </w:t>
      </w:r>
    </w:p>
  </w:footnote>
  <w:footnote w:id="4">
    <w:p w:rsidR="00657272" w:rsidRPr="0035415C" w:rsidRDefault="00657272" w:rsidP="00A65171">
      <w:pPr>
        <w:pStyle w:val="Lbjegyzetszveg"/>
      </w:pPr>
      <w:r w:rsidRPr="00E0288A">
        <w:rPr>
          <w:vertAlign w:val="superscript"/>
        </w:rPr>
        <w:footnoteRef/>
      </w:r>
      <w:r w:rsidRPr="00E0288A">
        <w:rPr>
          <w:vertAlign w:val="superscript"/>
        </w:rPr>
        <w:t xml:space="preserve"> </w:t>
      </w:r>
      <w:r>
        <w:t>1303/2013/EU</w:t>
      </w:r>
      <w:r w:rsidRPr="0035415C">
        <w:t xml:space="preserve"> </w:t>
      </w:r>
      <w:r>
        <w:t>R</w:t>
      </w:r>
      <w:r w:rsidRPr="0035415C">
        <w:t>endelet</w:t>
      </w:r>
      <w:r>
        <w:t xml:space="preserve"> VII. cím III</w:t>
      </w:r>
      <w:r w:rsidRPr="0035415C">
        <w:t>. fejezet 7</w:t>
      </w:r>
      <w:r>
        <w:t>1</w:t>
      </w:r>
      <w:r w:rsidRPr="0035415C">
        <w:t>. cikk: A műveletek tartóssága</w:t>
      </w:r>
    </w:p>
    <w:p w:rsidR="00657272" w:rsidRPr="006522C3" w:rsidRDefault="00657272" w:rsidP="00A65171">
      <w:pPr>
        <w:pStyle w:val="Lbjegyzetszveg"/>
        <w:rPr>
          <w:rFonts w:ascii="Calibri" w:hAnsi="Calibri"/>
          <w:i/>
          <w:szCs w:val="18"/>
        </w:rPr>
      </w:pPr>
      <w:r w:rsidRPr="0035415C">
        <w:rPr>
          <w:rFonts w:ascii="Calibri" w:hAnsi="Calibri"/>
          <w:i/>
          <w:szCs w:val="18"/>
        </w:rPr>
        <w:t>(1)</w:t>
      </w:r>
      <w:r>
        <w:rPr>
          <w:rFonts w:ascii="Calibri" w:hAnsi="Calibri"/>
          <w:i/>
          <w:szCs w:val="18"/>
        </w:rPr>
        <w:t xml:space="preserve"> </w:t>
      </w:r>
      <w:r w:rsidRPr="006522C3">
        <w:rPr>
          <w:rFonts w:ascii="Calibri" w:hAnsi="Calibri"/>
          <w:i/>
          <w:szCs w:val="18"/>
        </w:rPr>
        <w:t>ESB-alapokból valamely infrastrukturális vagy termelő beruházást magában foglaló műveletre fordított támogatás akkor fizetendő vissza, ha a kedvezményezettnek történő utolsó kifizetéstől számított öt éven belül, illetve adott esetben, az állami támogatásokról szóló szabályozás szerinti időtartamon belül, a következők valamelyike történik:</w:t>
      </w:r>
    </w:p>
    <w:p w:rsidR="00657272" w:rsidRPr="006522C3" w:rsidRDefault="00657272" w:rsidP="00A65171">
      <w:pPr>
        <w:pStyle w:val="Lbjegyzetszveg"/>
        <w:rPr>
          <w:rFonts w:ascii="Calibri" w:hAnsi="Calibri"/>
          <w:i/>
          <w:szCs w:val="18"/>
        </w:rPr>
      </w:pPr>
      <w:r w:rsidRPr="006522C3">
        <w:rPr>
          <w:rFonts w:ascii="Calibri" w:hAnsi="Calibri"/>
          <w:i/>
          <w:szCs w:val="18"/>
        </w:rPr>
        <w:t>a) a termelő tevékenység megszűnése vagy a programterületen kívülre való áthelyezése;</w:t>
      </w:r>
    </w:p>
    <w:p w:rsidR="00657272" w:rsidRPr="006522C3" w:rsidRDefault="00657272" w:rsidP="00A65171">
      <w:pPr>
        <w:pStyle w:val="Lbjegyzetszveg"/>
        <w:rPr>
          <w:rFonts w:ascii="Calibri" w:hAnsi="Calibri"/>
          <w:i/>
          <w:szCs w:val="18"/>
        </w:rPr>
      </w:pPr>
      <w:r w:rsidRPr="006522C3">
        <w:rPr>
          <w:rFonts w:ascii="Calibri" w:hAnsi="Calibri"/>
          <w:i/>
          <w:szCs w:val="18"/>
        </w:rPr>
        <w:t>b) az infrastruktúra valamely elemében tulajdonosváltás következik be, amelynek eredményeként egy cég vagy állami szervezet jogosulatlan előnyhöz jut;</w:t>
      </w:r>
    </w:p>
    <w:p w:rsidR="00657272" w:rsidRPr="0035415C" w:rsidRDefault="00657272" w:rsidP="00A65171">
      <w:pPr>
        <w:pStyle w:val="Lbjegyzetszveg"/>
        <w:rPr>
          <w:rFonts w:ascii="Calibri" w:hAnsi="Calibri"/>
          <w:i/>
          <w:szCs w:val="18"/>
        </w:rPr>
      </w:pPr>
      <w:r w:rsidRPr="006522C3">
        <w:rPr>
          <w:rFonts w:ascii="Calibri" w:hAnsi="Calibri"/>
          <w:i/>
          <w:szCs w:val="18"/>
        </w:rPr>
        <w:t>c) a természetében, célkitűzéseiben vagy végrehajtási feltételeiben olyan lényeges változás következik be, amely az eredeti célkitűzéseket veszélyezteti. A műveletre jogosulatlanul kifizetett összegeket a tagállamnak vissza kell téríttetnie, azon időszakkal arányosan, amelynek teki</w:t>
      </w:r>
      <w:r>
        <w:rPr>
          <w:rFonts w:ascii="Calibri" w:hAnsi="Calibri"/>
          <w:i/>
          <w:szCs w:val="18"/>
        </w:rPr>
        <w:t>ntetében nem teljesültek a köve</w:t>
      </w:r>
      <w:r w:rsidRPr="006522C3">
        <w:rPr>
          <w:rFonts w:ascii="Calibri" w:hAnsi="Calibri"/>
          <w:i/>
          <w:szCs w:val="18"/>
        </w:rPr>
        <w:t>telmények. Az első albekezdésben meghatározott határidőt a tagállamok</w:t>
      </w:r>
      <w:r>
        <w:rPr>
          <w:rFonts w:ascii="Calibri" w:hAnsi="Calibri"/>
          <w:i/>
          <w:szCs w:val="18"/>
        </w:rPr>
        <w:t xml:space="preserve"> </w:t>
      </w:r>
      <w:r w:rsidRPr="006522C3">
        <w:rPr>
          <w:rFonts w:ascii="Calibri" w:hAnsi="Calibri"/>
          <w:i/>
          <w:szCs w:val="18"/>
        </w:rPr>
        <w:t xml:space="preserve">három évre csökkenthetik a kkv-k általi beruházások vagy az általuk teremtett munkahelyek fenntartása esetén. </w:t>
      </w:r>
    </w:p>
  </w:footnote>
  <w:footnote w:id="5">
    <w:p w:rsidR="00657272" w:rsidRDefault="00657272" w:rsidP="00E0288A">
      <w:pPr>
        <w:pStyle w:val="Lbjegyzetszveg"/>
      </w:pPr>
      <w:r w:rsidRPr="00E0288A">
        <w:rPr>
          <w:vertAlign w:val="superscript"/>
        </w:rPr>
        <w:footnoteRef/>
      </w:r>
      <w:r w:rsidRPr="00E0288A">
        <w:rPr>
          <w:vertAlign w:val="superscript"/>
        </w:rPr>
        <w:t xml:space="preserve"> </w:t>
      </w:r>
      <w:r w:rsidRPr="00A65171">
        <w:t>2015/207 III. melléklet, 2.1.4 (2)</w:t>
      </w:r>
    </w:p>
  </w:footnote>
  <w:footnote w:id="6">
    <w:p w:rsidR="00657272" w:rsidRDefault="00657272" w:rsidP="00E0288A">
      <w:pPr>
        <w:pStyle w:val="Lbjegyzetszveg"/>
      </w:pPr>
      <w:r w:rsidRPr="00E0288A">
        <w:rPr>
          <w:vertAlign w:val="superscript"/>
        </w:rPr>
        <w:footnoteRef/>
      </w:r>
      <w:r w:rsidRPr="00E0288A">
        <w:rPr>
          <w:vertAlign w:val="superscript"/>
        </w:rPr>
        <w:t xml:space="preserve"> </w:t>
      </w:r>
      <w:r w:rsidRPr="00A65171">
        <w:t>EU Guide 2014-2020 2.6.1, 25. oldal</w:t>
      </w:r>
    </w:p>
  </w:footnote>
  <w:footnote w:id="7">
    <w:p w:rsidR="00657272" w:rsidRDefault="00657272" w:rsidP="00E0288A">
      <w:pPr>
        <w:pStyle w:val="Lbjegyzetszveg"/>
      </w:pPr>
      <w:r w:rsidRPr="00E0288A">
        <w:rPr>
          <w:vertAlign w:val="superscript"/>
        </w:rPr>
        <w:footnoteRef/>
      </w:r>
      <w:r w:rsidRPr="00E0288A">
        <w:rPr>
          <w:vertAlign w:val="superscript"/>
        </w:rPr>
        <w:t xml:space="preserve"> </w:t>
      </w:r>
      <w:r w:rsidRPr="00A65171">
        <w:t>480/2014EU II. melléklet 4.1</w:t>
      </w:r>
    </w:p>
  </w:footnote>
  <w:footnote w:id="8">
    <w:p w:rsidR="00657272" w:rsidRPr="00946AB4" w:rsidRDefault="00657272" w:rsidP="00E0288A">
      <w:pPr>
        <w:pStyle w:val="Lbjegyzetszveg"/>
      </w:pPr>
      <w:r w:rsidRPr="00E0288A">
        <w:rPr>
          <w:vertAlign w:val="superscript"/>
        </w:rPr>
        <w:footnoteRef/>
      </w:r>
      <w:r w:rsidRPr="00E0288A">
        <w:rPr>
          <w:vertAlign w:val="superscript"/>
        </w:rPr>
        <w:t xml:space="preserve"> </w:t>
      </w:r>
      <w:r w:rsidRPr="00A65171">
        <w:t>AZ EU útmutató kiegészítése, 2006 alapján.</w:t>
      </w:r>
    </w:p>
  </w:footnote>
  <w:footnote w:id="9">
    <w:p w:rsidR="00657272" w:rsidRDefault="00657272" w:rsidP="00E0288A">
      <w:pPr>
        <w:pStyle w:val="Lbjegyzetszveg"/>
      </w:pPr>
      <w:r w:rsidRPr="00E0288A">
        <w:rPr>
          <w:vertAlign w:val="superscript"/>
        </w:rPr>
        <w:footnoteRef/>
      </w:r>
      <w:r w:rsidRPr="00E0288A">
        <w:rPr>
          <w:vertAlign w:val="superscript"/>
        </w:rPr>
        <w:t xml:space="preserve"> </w:t>
      </w:r>
      <w:r>
        <w:t>480/2014/EU, I. melléklet</w:t>
      </w:r>
    </w:p>
  </w:footnote>
  <w:footnote w:id="10">
    <w:p w:rsidR="00657272" w:rsidRDefault="00657272" w:rsidP="00E0288A">
      <w:pPr>
        <w:pStyle w:val="Lbjegyzetszveg"/>
      </w:pPr>
      <w:r w:rsidRPr="00E0288A">
        <w:rPr>
          <w:vertAlign w:val="superscript"/>
        </w:rPr>
        <w:footnoteRef/>
      </w:r>
      <w:r w:rsidRPr="00E0288A">
        <w:rPr>
          <w:vertAlign w:val="superscript"/>
        </w:rPr>
        <w:t xml:space="preserve"> </w:t>
      </w:r>
      <w:r w:rsidRPr="00A65171">
        <w:t>Ha szükséges</w:t>
      </w:r>
    </w:p>
  </w:footnote>
  <w:footnote w:id="11">
    <w:p w:rsidR="00657272" w:rsidRDefault="00657272" w:rsidP="00E0288A">
      <w:pPr>
        <w:pStyle w:val="Lbjegyzetszveg"/>
      </w:pPr>
      <w:r w:rsidRPr="00E0288A">
        <w:rPr>
          <w:vertAlign w:val="superscript"/>
        </w:rPr>
        <w:footnoteRef/>
      </w:r>
      <w:r w:rsidRPr="00E0288A">
        <w:rPr>
          <w:vertAlign w:val="superscript"/>
        </w:rPr>
        <w:t xml:space="preserve"> </w:t>
      </w:r>
      <w:r w:rsidRPr="00A65171">
        <w:t>teherviselő képesség vagy fizetőképesség</w:t>
      </w:r>
    </w:p>
  </w:footnote>
  <w:footnote w:id="12">
    <w:p w:rsidR="00657272" w:rsidRPr="00C01743" w:rsidRDefault="00657272" w:rsidP="00E0288A">
      <w:pPr>
        <w:pStyle w:val="Lbjegyzetszveg"/>
      </w:pPr>
      <w:r w:rsidRPr="00E0288A">
        <w:rPr>
          <w:vertAlign w:val="superscript"/>
        </w:rPr>
        <w:footnoteRef/>
      </w:r>
      <w:r w:rsidRPr="00E0288A">
        <w:rPr>
          <w:vertAlign w:val="superscript"/>
        </w:rPr>
        <w:t xml:space="preserve"> </w:t>
      </w:r>
      <w:r w:rsidRPr="00A65171">
        <w:t>PPP konstrukció esetén a projektbe kerülnek a magántőke-körhöz tartozó kedvezményezettek is. A befektetett tőke megtérülésének meghatározása során azonban a magántőke esetén mellőzni szükséges bármely, akár az EU-tól, akár a Központi Költségvetésből származó támogatást.</w:t>
      </w:r>
    </w:p>
  </w:footnote>
  <w:footnote w:id="13">
    <w:p w:rsidR="00657272" w:rsidRPr="009F118C" w:rsidRDefault="00657272" w:rsidP="00E0288A">
      <w:pPr>
        <w:pStyle w:val="Lbjegyzetszveg"/>
      </w:pPr>
      <w:r w:rsidRPr="00E0288A">
        <w:rPr>
          <w:vertAlign w:val="superscript"/>
        </w:rPr>
        <w:footnoteRef/>
      </w:r>
      <w:r w:rsidRPr="00E0288A">
        <w:rPr>
          <w:vertAlign w:val="superscript"/>
        </w:rPr>
        <w:t xml:space="preserve"> </w:t>
      </w:r>
      <w:r w:rsidRPr="00A65171">
        <w:t>Amennyiben – például az eszközök magas pótlási költsége miatt – bizonyos években a halmozott működési pénzáram negatív lenne, ez többféleképpen áthidalható: 1) a pótlásért felelős szereplő a projekten kívül képződött (egyéb tevékenységéből származó) önerővel fedezi a hiányt (ideiglenes finanszírozási forrásként); 2) hitelt vesz fel; 3) nem egy év alatt, hanem több éven keresztül valósítja meg az eszközpótlást (időben szétteríti a felmerülő kiadásokat).</w:t>
      </w:r>
    </w:p>
  </w:footnote>
  <w:footnote w:id="14">
    <w:p w:rsidR="00657272" w:rsidRDefault="00657272" w:rsidP="00E0288A">
      <w:pPr>
        <w:pStyle w:val="Lbjegyzetszveg"/>
      </w:pPr>
      <w:r w:rsidRPr="00E0288A">
        <w:rPr>
          <w:vertAlign w:val="superscript"/>
        </w:rPr>
        <w:footnoteRef/>
      </w:r>
      <w:r w:rsidRPr="00E0288A">
        <w:rPr>
          <w:vertAlign w:val="superscript"/>
        </w:rPr>
        <w:t xml:space="preserve"> </w:t>
      </w:r>
      <w:r>
        <w:t>Amennyiben az a vizsgált időszak végén realizálódik.</w:t>
      </w:r>
    </w:p>
  </w:footnote>
  <w:footnote w:id="15">
    <w:p w:rsidR="00657272" w:rsidRDefault="00657272" w:rsidP="00E0288A">
      <w:pPr>
        <w:pStyle w:val="Lbjegyzetszveg"/>
      </w:pPr>
      <w:r w:rsidRPr="00E0288A">
        <w:rPr>
          <w:vertAlign w:val="superscript"/>
        </w:rPr>
        <w:footnoteRef/>
      </w:r>
      <w:r w:rsidRPr="00E0288A">
        <w:rPr>
          <w:vertAlign w:val="superscript"/>
        </w:rPr>
        <w:t xml:space="preserve"> </w:t>
      </w:r>
      <w:r>
        <w:t>Amennyiben az a vizsgált időszak végén realizálódik.</w:t>
      </w:r>
    </w:p>
  </w:footnote>
  <w:footnote w:id="16">
    <w:p w:rsidR="00657272" w:rsidRPr="00885033" w:rsidRDefault="00657272" w:rsidP="00E0288A">
      <w:pPr>
        <w:pStyle w:val="Lbjegyzetszveg"/>
      </w:pPr>
      <w:r w:rsidRPr="00E0288A">
        <w:rPr>
          <w:vertAlign w:val="superscript"/>
        </w:rPr>
        <w:footnoteRef/>
      </w:r>
      <w:r w:rsidRPr="00E0288A">
        <w:rPr>
          <w:vertAlign w:val="superscript"/>
        </w:rPr>
        <w:t xml:space="preserve"> </w:t>
      </w:r>
      <w:r w:rsidRPr="00885033">
        <w:t>Jogszabályi iránymutatás nincs a központi költségvetés finanszírozási arányára. Az akciótervekből az szűrhető le, hogy a finanszírozási hiány számítással kalkulált „döntési összeg” 85 %-át EU forrásból, 15 %-át hazai támogatásból kívánják finanszírozni.</w:t>
      </w:r>
    </w:p>
  </w:footnote>
  <w:footnote w:id="17">
    <w:p w:rsidR="00657272" w:rsidRPr="00D8487D" w:rsidRDefault="00657272" w:rsidP="00A65171">
      <w:pPr>
        <w:pStyle w:val="Lbjegyzetszveg"/>
      </w:pPr>
      <w:r w:rsidRPr="00E0288A">
        <w:rPr>
          <w:vertAlign w:val="superscript"/>
        </w:rPr>
        <w:footnoteRef/>
      </w:r>
      <w:r w:rsidRPr="00E0288A">
        <w:rPr>
          <w:vertAlign w:val="superscript"/>
        </w:rPr>
        <w:t xml:space="preserve"> </w:t>
      </w:r>
      <w:r w:rsidRPr="00D8487D">
        <w:t>Az ERR alkalmazásai, ha a befektetések pénzáramlása nem tipikus:</w:t>
      </w:r>
    </w:p>
    <w:p w:rsidR="00657272" w:rsidRPr="00D8487D" w:rsidRDefault="00657272" w:rsidP="00A65171">
      <w:pPr>
        <w:pStyle w:val="Lbjegyzetszveg"/>
        <w:ind w:firstLine="708"/>
      </w:pPr>
      <w:r w:rsidRPr="00D8487D">
        <w:t xml:space="preserve">Néhány esetben a belső megtérülési ráta </w:t>
      </w:r>
      <w:r w:rsidRPr="00D8487D">
        <w:rPr>
          <w:iCs/>
        </w:rPr>
        <w:t>nem számítható</w:t>
      </w:r>
      <w:r w:rsidRPr="00D8487D">
        <w:t>, mert az egyenletnek nincs gyöke</w:t>
      </w:r>
    </w:p>
    <w:p w:rsidR="00657272" w:rsidRPr="00D8487D" w:rsidRDefault="00657272" w:rsidP="00A65171">
      <w:pPr>
        <w:pStyle w:val="Lbjegyzetszveg"/>
        <w:ind w:left="708"/>
      </w:pPr>
      <w:r w:rsidRPr="00D8487D">
        <w:t xml:space="preserve">Néhány esetben </w:t>
      </w:r>
      <w:r w:rsidRPr="00D8487D">
        <w:rPr>
          <w:iCs/>
        </w:rPr>
        <w:t>több belső megtérülési ráta számítható</w:t>
      </w:r>
      <w:r w:rsidRPr="00D8487D">
        <w:t>! Ha a projekt megvalósítása folyamán a pénzáramok előjele váltakozik</w:t>
      </w:r>
      <w:r>
        <w:t>, az egyenletnek több gyöke van</w:t>
      </w:r>
      <w:r w:rsidRPr="00D8487D">
        <w:t>, annyi belső megtérülési rátát kapunk tehát, ahányszor a pénzáram előjelet vált.</w:t>
      </w:r>
    </w:p>
  </w:footnote>
  <w:footnote w:id="18">
    <w:p w:rsidR="00657272" w:rsidRDefault="00657272" w:rsidP="00E0288A">
      <w:pPr>
        <w:pStyle w:val="Lbjegyzetszveg"/>
      </w:pPr>
      <w:r w:rsidRPr="00E0288A">
        <w:rPr>
          <w:vertAlign w:val="superscript"/>
        </w:rPr>
        <w:footnoteRef/>
      </w:r>
      <w:r w:rsidRPr="00E0288A">
        <w:rPr>
          <w:vertAlign w:val="superscript"/>
        </w:rPr>
        <w:t xml:space="preserve"> </w:t>
      </w:r>
      <w:r>
        <w:t>A kockázati esemény rövid leírása.</w:t>
      </w:r>
    </w:p>
  </w:footnote>
  <w:footnote w:id="19">
    <w:p w:rsidR="00657272" w:rsidRDefault="00657272" w:rsidP="00E0288A">
      <w:pPr>
        <w:pStyle w:val="Lbjegyzetszveg"/>
      </w:pPr>
      <w:r w:rsidRPr="00E0288A">
        <w:rPr>
          <w:vertAlign w:val="superscript"/>
        </w:rPr>
        <w:footnoteRef/>
      </w:r>
      <w:r w:rsidRPr="00E0288A">
        <w:rPr>
          <w:vertAlign w:val="superscript"/>
        </w:rPr>
        <w:t xml:space="preserve"> </w:t>
      </w:r>
      <w:r>
        <w:t xml:space="preserve">ld. </w:t>
      </w:r>
      <w:r>
        <w:fldChar w:fldCharType="begin"/>
      </w:r>
      <w:r>
        <w:instrText xml:space="preserve"> REF _Ref428198602 \h </w:instrText>
      </w:r>
      <w:r>
        <w:fldChar w:fldCharType="separate"/>
      </w:r>
      <w:r>
        <w:rPr>
          <w:noProof/>
        </w:rPr>
        <w:t>38</w:t>
      </w:r>
      <w:r>
        <w:fldChar w:fldCharType="end"/>
      </w:r>
      <w:r>
        <w:t>. táblázat első oszlopa</w:t>
      </w:r>
    </w:p>
  </w:footnote>
  <w:footnote w:id="20">
    <w:p w:rsidR="00657272" w:rsidRDefault="00657272" w:rsidP="00E0288A">
      <w:pPr>
        <w:pStyle w:val="Lbjegyzetszveg"/>
      </w:pPr>
      <w:r w:rsidRPr="00E0288A">
        <w:rPr>
          <w:vertAlign w:val="superscript"/>
        </w:rPr>
        <w:footnoteRef/>
      </w:r>
      <w:r w:rsidRPr="00E0288A">
        <w:rPr>
          <w:vertAlign w:val="superscript"/>
        </w:rPr>
        <w:t xml:space="preserve"> </w:t>
      </w:r>
      <w:r>
        <w:t xml:space="preserve">A </w:t>
      </w:r>
      <w:r>
        <w:fldChar w:fldCharType="begin"/>
      </w:r>
      <w:r>
        <w:instrText xml:space="preserve"> REF _Ref428198618 \h </w:instrText>
      </w:r>
      <w:r>
        <w:fldChar w:fldCharType="separate"/>
      </w:r>
      <w:r>
        <w:rPr>
          <w:noProof/>
        </w:rPr>
        <w:t>37</w:t>
      </w:r>
      <w:r>
        <w:fldChar w:fldCharType="end"/>
      </w:r>
      <w:r>
        <w:t>. táblázatban definiált kategóriák alapján</w:t>
      </w:r>
    </w:p>
  </w:footnote>
  <w:footnote w:id="21">
    <w:p w:rsidR="00657272" w:rsidRDefault="00657272" w:rsidP="00E0288A">
      <w:pPr>
        <w:pStyle w:val="Lbjegyzetszveg"/>
      </w:pPr>
      <w:r w:rsidRPr="00E0288A">
        <w:rPr>
          <w:vertAlign w:val="superscript"/>
        </w:rPr>
        <w:footnoteRef/>
      </w:r>
      <w:r w:rsidRPr="00E0288A">
        <w:rPr>
          <w:vertAlign w:val="superscript"/>
        </w:rPr>
        <w:t xml:space="preserve"> </w:t>
      </w:r>
      <w:r>
        <w:t xml:space="preserve">Az bekövetkezés valószínűsége ill. a bekövetkezés hatása alapján ld. </w:t>
      </w:r>
      <w:r>
        <w:fldChar w:fldCharType="begin"/>
      </w:r>
      <w:r>
        <w:instrText xml:space="preserve"> REF _Ref428198602 \h </w:instrText>
      </w:r>
      <w:r>
        <w:fldChar w:fldCharType="separate"/>
      </w:r>
      <w:r>
        <w:rPr>
          <w:noProof/>
        </w:rPr>
        <w:t>38</w:t>
      </w:r>
      <w:r>
        <w:fldChar w:fldCharType="end"/>
      </w:r>
      <w:r>
        <w:t>. táblázat.</w:t>
      </w:r>
    </w:p>
  </w:footnote>
  <w:footnote w:id="22">
    <w:p w:rsidR="00657272" w:rsidRDefault="00657272" w:rsidP="00E0288A">
      <w:pPr>
        <w:pStyle w:val="Lbjegyzetszveg"/>
      </w:pPr>
      <w:r w:rsidRPr="00E0288A">
        <w:rPr>
          <w:vertAlign w:val="superscript"/>
        </w:rPr>
        <w:footnoteRef/>
      </w:r>
      <w:r w:rsidRPr="00E0288A">
        <w:rPr>
          <w:vertAlign w:val="superscript"/>
        </w:rPr>
        <w:t xml:space="preserve"> </w:t>
      </w:r>
      <w:r>
        <w:t xml:space="preserve">A kockázati szint alapján ld. </w:t>
      </w:r>
      <w:r>
        <w:fldChar w:fldCharType="begin"/>
      </w:r>
      <w:r>
        <w:instrText xml:space="preserve"> REF _Ref428198640 \h </w:instrText>
      </w:r>
      <w:r>
        <w:fldChar w:fldCharType="separate"/>
      </w:r>
      <w:r>
        <w:rPr>
          <w:noProof/>
        </w:rPr>
        <w:t>39</w:t>
      </w:r>
      <w:r>
        <w:fldChar w:fldCharType="end"/>
      </w:r>
      <w:r>
        <w:t>. táblázat.</w:t>
      </w:r>
    </w:p>
  </w:footnote>
  <w:footnote w:id="23">
    <w:p w:rsidR="00657272" w:rsidRDefault="00657272" w:rsidP="00E0288A">
      <w:pPr>
        <w:pStyle w:val="Lbjegyzetszveg"/>
      </w:pPr>
      <w:r w:rsidRPr="00E0288A">
        <w:rPr>
          <w:vertAlign w:val="superscript"/>
        </w:rPr>
        <w:footnoteRef/>
      </w:r>
      <w:r w:rsidRPr="00E0288A">
        <w:rPr>
          <w:vertAlign w:val="superscript"/>
        </w:rPr>
        <w:t xml:space="preserve"> </w:t>
      </w:r>
      <w:r w:rsidRPr="00A65171">
        <w:t xml:space="preserve">A </w:t>
      </w:r>
      <w:r w:rsidRPr="00A65171">
        <w:fldChar w:fldCharType="begin"/>
      </w:r>
      <w:r w:rsidRPr="00A65171">
        <w:instrText xml:space="preserve"> REF _Ref428198602 \h </w:instrText>
      </w:r>
      <w:r>
        <w:instrText xml:space="preserve"> \* MERGEFORMAT </w:instrText>
      </w:r>
      <w:r w:rsidRPr="00A65171">
        <w:fldChar w:fldCharType="separate"/>
      </w:r>
      <w:r>
        <w:t>38</w:t>
      </w:r>
      <w:r w:rsidRPr="00A65171">
        <w:fldChar w:fldCharType="end"/>
      </w:r>
      <w:r w:rsidRPr="00A65171">
        <w:t>. táblázatban definiált kockázati szintek alapján.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272" w:rsidRDefault="00657272">
    <w:r w:rsidRPr="00D051FE">
      <w:t xml:space="preserve">Módszertani útmutató </w:t>
    </w:r>
    <w:r>
      <w:t xml:space="preserve">TOP projektek </w:t>
    </w:r>
    <w:r w:rsidRPr="00D051FE">
      <w:t>költség-haszon elemzés</w:t>
    </w:r>
    <w:r>
      <w:t>é</w:t>
    </w:r>
    <w:r w:rsidRPr="00D051FE">
      <w:t>hez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clip_image001"/>
      </v:shape>
    </w:pict>
  </w:numPicBullet>
  <w:numPicBullet w:numPicBulletId="1">
    <w:pict>
      <v:shape id="_x0000_i1031" type="#_x0000_t75" style="width:9pt;height:9pt" o:bullet="t">
        <v:imagedata r:id="rId2" o:title="clip_image002"/>
      </v:shape>
    </w:pict>
  </w:numPicBullet>
  <w:numPicBullet w:numPicBulletId="2">
    <w:pict>
      <v:shape id="_x0000_i1032" type="#_x0000_t75" style="width:9pt;height:9pt" o:bullet="t">
        <v:imagedata r:id="rId3" o:title="clip_image001"/>
      </v:shape>
    </w:pict>
  </w:numPicBullet>
  <w:numPicBullet w:numPicBulletId="3">
    <w:pict>
      <v:shape id="_x0000_i1033" type="#_x0000_t75" style="width:9pt;height:9pt" o:bullet="t">
        <v:imagedata r:id="rId4" o:title="clip_image002"/>
      </v:shape>
    </w:pict>
  </w:numPicBullet>
  <w:abstractNum w:abstractNumId="0" w15:restartNumberingAfterBreak="0">
    <w:nsid w:val="FFFFFF7D"/>
    <w:multiLevelType w:val="singleLevel"/>
    <w:tmpl w:val="FCBEC58A"/>
    <w:lvl w:ilvl="0">
      <w:start w:val="1"/>
      <w:numFmt w:val="decimal"/>
      <w:lvlText w:val="%1."/>
      <w:lvlJc w:val="left"/>
      <w:pPr>
        <w:tabs>
          <w:tab w:val="num" w:pos="1209"/>
        </w:tabs>
        <w:ind w:left="1209" w:hanging="360"/>
      </w:pPr>
    </w:lvl>
  </w:abstractNum>
  <w:abstractNum w:abstractNumId="1" w15:restartNumberingAfterBreak="0">
    <w:nsid w:val="FFFFFF82"/>
    <w:multiLevelType w:val="singleLevel"/>
    <w:tmpl w:val="E928690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4AA462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18A0A5A"/>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6EC50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605A8C"/>
    <w:multiLevelType w:val="hybridMultilevel"/>
    <w:tmpl w:val="97446F58"/>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06374E"/>
    <w:multiLevelType w:val="multilevel"/>
    <w:tmpl w:val="CC8801EA"/>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3422773"/>
    <w:multiLevelType w:val="multilevel"/>
    <w:tmpl w:val="8C12F1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D1646C"/>
    <w:multiLevelType w:val="hybridMultilevel"/>
    <w:tmpl w:val="7AD2277C"/>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9" w15:restartNumberingAfterBreak="0">
    <w:nsid w:val="058F7A9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7D6BED"/>
    <w:multiLevelType w:val="hybridMultilevel"/>
    <w:tmpl w:val="54D86976"/>
    <w:lvl w:ilvl="0" w:tplc="040E0001">
      <w:start w:val="1"/>
      <w:numFmt w:val="bullet"/>
      <w:lvlText w:val=""/>
      <w:lvlJc w:val="left"/>
      <w:pPr>
        <w:ind w:left="1429" w:hanging="360"/>
      </w:pPr>
      <w:rPr>
        <w:rFonts w:ascii="Symbol" w:hAnsi="Symbol" w:hint="default"/>
      </w:r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1" w15:restartNumberingAfterBreak="0">
    <w:nsid w:val="09287F57"/>
    <w:multiLevelType w:val="hybridMultilevel"/>
    <w:tmpl w:val="226E1DD6"/>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2" w15:restartNumberingAfterBreak="0">
    <w:nsid w:val="0A062661"/>
    <w:multiLevelType w:val="hybridMultilevel"/>
    <w:tmpl w:val="B570F73A"/>
    <w:lvl w:ilvl="0" w:tplc="040E0001">
      <w:start w:val="1"/>
      <w:numFmt w:val="bullet"/>
      <w:pStyle w:val="Listaszerbekezds"/>
      <w:lvlText w:val=""/>
      <w:lvlJc w:val="left"/>
      <w:pPr>
        <w:tabs>
          <w:tab w:val="num" w:pos="644"/>
        </w:tabs>
        <w:ind w:left="644"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003A2"/>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B782B66"/>
    <w:multiLevelType w:val="hybridMultilevel"/>
    <w:tmpl w:val="6DEC8CDA"/>
    <w:lvl w:ilvl="0" w:tplc="0D34E6B4">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4F6A4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CC04FF8"/>
    <w:multiLevelType w:val="hybridMultilevel"/>
    <w:tmpl w:val="C24093C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5B0BB5"/>
    <w:multiLevelType w:val="hybridMultilevel"/>
    <w:tmpl w:val="9582496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CF7E24"/>
    <w:multiLevelType w:val="hybridMultilevel"/>
    <w:tmpl w:val="57D61DDA"/>
    <w:lvl w:ilvl="0" w:tplc="A5CE58E8">
      <w:start w:val="1"/>
      <w:numFmt w:val="bullet"/>
      <w:lvlText w:val="o"/>
      <w:lvlJc w:val="left"/>
      <w:pPr>
        <w:tabs>
          <w:tab w:val="num" w:pos="782"/>
        </w:tabs>
        <w:ind w:left="782" w:hanging="360"/>
      </w:pPr>
      <w:rPr>
        <w:rFonts w:ascii="Courier New" w:hAnsi="Courier New" w:cs="Courier New" w:hint="default"/>
      </w:rPr>
    </w:lvl>
    <w:lvl w:ilvl="1" w:tplc="040E0003" w:tentative="1">
      <w:start w:val="1"/>
      <w:numFmt w:val="bullet"/>
      <w:lvlText w:val="o"/>
      <w:lvlJc w:val="left"/>
      <w:pPr>
        <w:tabs>
          <w:tab w:val="num" w:pos="1502"/>
        </w:tabs>
        <w:ind w:left="1502" w:hanging="360"/>
      </w:pPr>
      <w:rPr>
        <w:rFonts w:ascii="Courier New" w:hAnsi="Courier New" w:cs="Courier New" w:hint="default"/>
      </w:rPr>
    </w:lvl>
    <w:lvl w:ilvl="2" w:tplc="040E0005" w:tentative="1">
      <w:start w:val="1"/>
      <w:numFmt w:val="bullet"/>
      <w:lvlText w:val=""/>
      <w:lvlJc w:val="left"/>
      <w:pPr>
        <w:tabs>
          <w:tab w:val="num" w:pos="2222"/>
        </w:tabs>
        <w:ind w:left="2222" w:hanging="360"/>
      </w:pPr>
      <w:rPr>
        <w:rFonts w:ascii="Wingdings" w:hAnsi="Wingdings" w:hint="default"/>
      </w:rPr>
    </w:lvl>
    <w:lvl w:ilvl="3" w:tplc="040E0001" w:tentative="1">
      <w:start w:val="1"/>
      <w:numFmt w:val="bullet"/>
      <w:lvlText w:val=""/>
      <w:lvlJc w:val="left"/>
      <w:pPr>
        <w:tabs>
          <w:tab w:val="num" w:pos="2942"/>
        </w:tabs>
        <w:ind w:left="2942" w:hanging="360"/>
      </w:pPr>
      <w:rPr>
        <w:rFonts w:ascii="Symbol" w:hAnsi="Symbol" w:hint="default"/>
      </w:rPr>
    </w:lvl>
    <w:lvl w:ilvl="4" w:tplc="040E0003" w:tentative="1">
      <w:start w:val="1"/>
      <w:numFmt w:val="bullet"/>
      <w:lvlText w:val="o"/>
      <w:lvlJc w:val="left"/>
      <w:pPr>
        <w:tabs>
          <w:tab w:val="num" w:pos="3662"/>
        </w:tabs>
        <w:ind w:left="3662" w:hanging="360"/>
      </w:pPr>
      <w:rPr>
        <w:rFonts w:ascii="Courier New" w:hAnsi="Courier New" w:cs="Courier New" w:hint="default"/>
      </w:rPr>
    </w:lvl>
    <w:lvl w:ilvl="5" w:tplc="040E0005" w:tentative="1">
      <w:start w:val="1"/>
      <w:numFmt w:val="bullet"/>
      <w:lvlText w:val=""/>
      <w:lvlJc w:val="left"/>
      <w:pPr>
        <w:tabs>
          <w:tab w:val="num" w:pos="4382"/>
        </w:tabs>
        <w:ind w:left="4382" w:hanging="360"/>
      </w:pPr>
      <w:rPr>
        <w:rFonts w:ascii="Wingdings" w:hAnsi="Wingdings" w:hint="default"/>
      </w:rPr>
    </w:lvl>
    <w:lvl w:ilvl="6" w:tplc="040E0001" w:tentative="1">
      <w:start w:val="1"/>
      <w:numFmt w:val="bullet"/>
      <w:lvlText w:val=""/>
      <w:lvlJc w:val="left"/>
      <w:pPr>
        <w:tabs>
          <w:tab w:val="num" w:pos="5102"/>
        </w:tabs>
        <w:ind w:left="5102" w:hanging="360"/>
      </w:pPr>
      <w:rPr>
        <w:rFonts w:ascii="Symbol" w:hAnsi="Symbol" w:hint="default"/>
      </w:rPr>
    </w:lvl>
    <w:lvl w:ilvl="7" w:tplc="040E0003" w:tentative="1">
      <w:start w:val="1"/>
      <w:numFmt w:val="bullet"/>
      <w:lvlText w:val="o"/>
      <w:lvlJc w:val="left"/>
      <w:pPr>
        <w:tabs>
          <w:tab w:val="num" w:pos="5822"/>
        </w:tabs>
        <w:ind w:left="5822" w:hanging="360"/>
      </w:pPr>
      <w:rPr>
        <w:rFonts w:ascii="Courier New" w:hAnsi="Courier New" w:cs="Courier New" w:hint="default"/>
      </w:rPr>
    </w:lvl>
    <w:lvl w:ilvl="8" w:tplc="040E0005" w:tentative="1">
      <w:start w:val="1"/>
      <w:numFmt w:val="bullet"/>
      <w:lvlText w:val=""/>
      <w:lvlJc w:val="left"/>
      <w:pPr>
        <w:tabs>
          <w:tab w:val="num" w:pos="6542"/>
        </w:tabs>
        <w:ind w:left="6542" w:hanging="360"/>
      </w:pPr>
      <w:rPr>
        <w:rFonts w:ascii="Wingdings" w:hAnsi="Wingdings" w:hint="default"/>
      </w:rPr>
    </w:lvl>
  </w:abstractNum>
  <w:abstractNum w:abstractNumId="19" w15:restartNumberingAfterBreak="0">
    <w:nsid w:val="0E5C1DA6"/>
    <w:multiLevelType w:val="hybridMultilevel"/>
    <w:tmpl w:val="7E6A05E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0FA56692"/>
    <w:multiLevelType w:val="hybridMultilevel"/>
    <w:tmpl w:val="ABAC82B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942A97"/>
    <w:multiLevelType w:val="hybridMultilevel"/>
    <w:tmpl w:val="CA70BC2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23D70CA"/>
    <w:multiLevelType w:val="hybridMultilevel"/>
    <w:tmpl w:val="A3D498E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F">
      <w:start w:val="1"/>
      <w:numFmt w:val="decimal"/>
      <w:lvlText w:val="%3."/>
      <w:lvlJc w:val="left"/>
      <w:pPr>
        <w:tabs>
          <w:tab w:val="num" w:pos="2160"/>
        </w:tabs>
        <w:ind w:left="2160" w:hanging="360"/>
      </w:pPr>
      <w:rPr>
        <w:rFonts w:hint="default"/>
      </w:rPr>
    </w:lvl>
    <w:lvl w:ilvl="3" w:tplc="B45EF034">
      <w:start w:val="1"/>
      <w:numFmt w:val="lowerLetter"/>
      <w:lvlText w:val="%4)"/>
      <w:lvlJc w:val="left"/>
      <w:pPr>
        <w:ind w:left="2880" w:hanging="360"/>
      </w:pPr>
      <w:rPr>
        <w:rFonts w:hint="default"/>
      </w:rPr>
    </w:lvl>
    <w:lvl w:ilvl="4" w:tplc="7840BBF0">
      <w:start w:val="1"/>
      <w:numFmt w:val="bullet"/>
      <w:lvlText w:val="•"/>
      <w:lvlJc w:val="left"/>
      <w:pPr>
        <w:tabs>
          <w:tab w:val="num" w:pos="3600"/>
        </w:tabs>
        <w:ind w:left="3600" w:hanging="360"/>
      </w:pPr>
      <w:rPr>
        <w:rFonts w:ascii="HHelveticaLight" w:hAnsi="HHelveticaLight" w:hint="default"/>
      </w:rPr>
    </w:lvl>
    <w:lvl w:ilvl="5" w:tplc="90F2193A" w:tentative="1">
      <w:start w:val="1"/>
      <w:numFmt w:val="bullet"/>
      <w:lvlText w:val="•"/>
      <w:lvlJc w:val="left"/>
      <w:pPr>
        <w:tabs>
          <w:tab w:val="num" w:pos="4320"/>
        </w:tabs>
        <w:ind w:left="4320" w:hanging="360"/>
      </w:pPr>
      <w:rPr>
        <w:rFonts w:ascii="HHelveticaLight" w:hAnsi="HHelveticaLight" w:hint="default"/>
      </w:rPr>
    </w:lvl>
    <w:lvl w:ilvl="6" w:tplc="0736FEEA" w:tentative="1">
      <w:start w:val="1"/>
      <w:numFmt w:val="bullet"/>
      <w:lvlText w:val="•"/>
      <w:lvlJc w:val="left"/>
      <w:pPr>
        <w:tabs>
          <w:tab w:val="num" w:pos="5040"/>
        </w:tabs>
        <w:ind w:left="5040" w:hanging="360"/>
      </w:pPr>
      <w:rPr>
        <w:rFonts w:ascii="HHelveticaLight" w:hAnsi="HHelveticaLight" w:hint="default"/>
      </w:rPr>
    </w:lvl>
    <w:lvl w:ilvl="7" w:tplc="03CE4314" w:tentative="1">
      <w:start w:val="1"/>
      <w:numFmt w:val="bullet"/>
      <w:lvlText w:val="•"/>
      <w:lvlJc w:val="left"/>
      <w:pPr>
        <w:tabs>
          <w:tab w:val="num" w:pos="5760"/>
        </w:tabs>
        <w:ind w:left="5760" w:hanging="360"/>
      </w:pPr>
      <w:rPr>
        <w:rFonts w:ascii="HHelveticaLight" w:hAnsi="HHelveticaLight" w:hint="default"/>
      </w:rPr>
    </w:lvl>
    <w:lvl w:ilvl="8" w:tplc="AC9EAB62" w:tentative="1">
      <w:start w:val="1"/>
      <w:numFmt w:val="bullet"/>
      <w:lvlText w:val="•"/>
      <w:lvlJc w:val="left"/>
      <w:pPr>
        <w:tabs>
          <w:tab w:val="num" w:pos="6480"/>
        </w:tabs>
        <w:ind w:left="6480" w:hanging="360"/>
      </w:pPr>
      <w:rPr>
        <w:rFonts w:ascii="HHelveticaLight" w:hAnsi="HHelveticaLight" w:hint="default"/>
      </w:rPr>
    </w:lvl>
  </w:abstractNum>
  <w:abstractNum w:abstractNumId="23" w15:restartNumberingAfterBreak="0">
    <w:nsid w:val="147A4A38"/>
    <w:multiLevelType w:val="hybridMultilevel"/>
    <w:tmpl w:val="3B44FFDE"/>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1552290E"/>
    <w:multiLevelType w:val="hybridMultilevel"/>
    <w:tmpl w:val="D33ACEF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5C14865"/>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1732165E"/>
    <w:multiLevelType w:val="hybridMultilevel"/>
    <w:tmpl w:val="B1DCC674"/>
    <w:lvl w:ilvl="0" w:tplc="040E0001">
      <w:start w:val="1"/>
      <w:numFmt w:val="decimal"/>
      <w:lvlText w:val="%1."/>
      <w:lvlJc w:val="left"/>
      <w:pPr>
        <w:tabs>
          <w:tab w:val="num" w:pos="720"/>
        </w:tabs>
        <w:ind w:left="720" w:hanging="360"/>
      </w:pPr>
      <w:rPr>
        <w:rFonts w:hint="default"/>
      </w:rPr>
    </w:lvl>
    <w:lvl w:ilvl="1" w:tplc="040E0003">
      <w:start w:val="1"/>
      <w:numFmt w:val="lowerLetter"/>
      <w:lvlText w:val="%2."/>
      <w:lvlJc w:val="left"/>
      <w:pPr>
        <w:tabs>
          <w:tab w:val="num" w:pos="1440"/>
        </w:tabs>
        <w:ind w:left="1440" w:hanging="360"/>
      </w:pPr>
    </w:lvl>
    <w:lvl w:ilvl="2" w:tplc="040E0001" w:tentative="1">
      <w:start w:val="1"/>
      <w:numFmt w:val="lowerRoman"/>
      <w:lvlText w:val="%3."/>
      <w:lvlJc w:val="right"/>
      <w:pPr>
        <w:tabs>
          <w:tab w:val="num" w:pos="2160"/>
        </w:tabs>
        <w:ind w:left="2160" w:hanging="180"/>
      </w:pPr>
    </w:lvl>
    <w:lvl w:ilvl="3" w:tplc="040E0001" w:tentative="1">
      <w:start w:val="1"/>
      <w:numFmt w:val="decimal"/>
      <w:lvlText w:val="%4."/>
      <w:lvlJc w:val="left"/>
      <w:pPr>
        <w:tabs>
          <w:tab w:val="num" w:pos="2880"/>
        </w:tabs>
        <w:ind w:left="2880" w:hanging="360"/>
      </w:pPr>
    </w:lvl>
    <w:lvl w:ilvl="4" w:tplc="040E0003" w:tentative="1">
      <w:start w:val="1"/>
      <w:numFmt w:val="lowerLetter"/>
      <w:lvlText w:val="%5."/>
      <w:lvlJc w:val="left"/>
      <w:pPr>
        <w:tabs>
          <w:tab w:val="num" w:pos="3600"/>
        </w:tabs>
        <w:ind w:left="3600" w:hanging="360"/>
      </w:pPr>
    </w:lvl>
    <w:lvl w:ilvl="5" w:tplc="040E0005" w:tentative="1">
      <w:start w:val="1"/>
      <w:numFmt w:val="lowerRoman"/>
      <w:lvlText w:val="%6."/>
      <w:lvlJc w:val="right"/>
      <w:pPr>
        <w:tabs>
          <w:tab w:val="num" w:pos="4320"/>
        </w:tabs>
        <w:ind w:left="4320" w:hanging="180"/>
      </w:pPr>
    </w:lvl>
    <w:lvl w:ilvl="6" w:tplc="040E0001" w:tentative="1">
      <w:start w:val="1"/>
      <w:numFmt w:val="decimal"/>
      <w:lvlText w:val="%7."/>
      <w:lvlJc w:val="left"/>
      <w:pPr>
        <w:tabs>
          <w:tab w:val="num" w:pos="5040"/>
        </w:tabs>
        <w:ind w:left="5040" w:hanging="360"/>
      </w:pPr>
    </w:lvl>
    <w:lvl w:ilvl="7" w:tplc="040E0003" w:tentative="1">
      <w:start w:val="1"/>
      <w:numFmt w:val="lowerLetter"/>
      <w:lvlText w:val="%8."/>
      <w:lvlJc w:val="left"/>
      <w:pPr>
        <w:tabs>
          <w:tab w:val="num" w:pos="5760"/>
        </w:tabs>
        <w:ind w:left="5760" w:hanging="360"/>
      </w:pPr>
    </w:lvl>
    <w:lvl w:ilvl="8" w:tplc="040E0005" w:tentative="1">
      <w:start w:val="1"/>
      <w:numFmt w:val="lowerRoman"/>
      <w:lvlText w:val="%9."/>
      <w:lvlJc w:val="right"/>
      <w:pPr>
        <w:tabs>
          <w:tab w:val="num" w:pos="6480"/>
        </w:tabs>
        <w:ind w:left="6480" w:hanging="180"/>
      </w:pPr>
    </w:lvl>
  </w:abstractNum>
  <w:abstractNum w:abstractNumId="27" w15:restartNumberingAfterBreak="0">
    <w:nsid w:val="182614DE"/>
    <w:multiLevelType w:val="hybridMultilevel"/>
    <w:tmpl w:val="666CC4A8"/>
    <w:lvl w:ilvl="0" w:tplc="040E0001">
      <w:start w:val="1"/>
      <w:numFmt w:val="bullet"/>
      <w:lvlText w:val=""/>
      <w:lvlJc w:val="left"/>
      <w:pPr>
        <w:tabs>
          <w:tab w:val="num" w:pos="735"/>
        </w:tabs>
        <w:ind w:left="735" w:hanging="360"/>
      </w:pPr>
      <w:rPr>
        <w:rFonts w:ascii="Symbol" w:hAnsi="Symbol" w:hint="default"/>
      </w:rPr>
    </w:lvl>
    <w:lvl w:ilvl="1" w:tplc="040E0003" w:tentative="1">
      <w:start w:val="1"/>
      <w:numFmt w:val="bullet"/>
      <w:lvlText w:val="o"/>
      <w:lvlJc w:val="left"/>
      <w:pPr>
        <w:tabs>
          <w:tab w:val="num" w:pos="1455"/>
        </w:tabs>
        <w:ind w:left="1455" w:hanging="360"/>
      </w:pPr>
      <w:rPr>
        <w:rFonts w:ascii="Courier New" w:hAnsi="Courier New" w:cs="Courier New" w:hint="default"/>
      </w:rPr>
    </w:lvl>
    <w:lvl w:ilvl="2" w:tplc="040E0005" w:tentative="1">
      <w:start w:val="1"/>
      <w:numFmt w:val="bullet"/>
      <w:lvlText w:val=""/>
      <w:lvlJc w:val="left"/>
      <w:pPr>
        <w:tabs>
          <w:tab w:val="num" w:pos="2175"/>
        </w:tabs>
        <w:ind w:left="2175" w:hanging="360"/>
      </w:pPr>
      <w:rPr>
        <w:rFonts w:ascii="Wingdings" w:hAnsi="Wingdings" w:hint="default"/>
      </w:rPr>
    </w:lvl>
    <w:lvl w:ilvl="3" w:tplc="040E0001" w:tentative="1">
      <w:start w:val="1"/>
      <w:numFmt w:val="bullet"/>
      <w:lvlText w:val=""/>
      <w:lvlJc w:val="left"/>
      <w:pPr>
        <w:tabs>
          <w:tab w:val="num" w:pos="2895"/>
        </w:tabs>
        <w:ind w:left="2895" w:hanging="360"/>
      </w:pPr>
      <w:rPr>
        <w:rFonts w:ascii="Symbol" w:hAnsi="Symbol" w:hint="default"/>
      </w:rPr>
    </w:lvl>
    <w:lvl w:ilvl="4" w:tplc="040E0003" w:tentative="1">
      <w:start w:val="1"/>
      <w:numFmt w:val="bullet"/>
      <w:lvlText w:val="o"/>
      <w:lvlJc w:val="left"/>
      <w:pPr>
        <w:tabs>
          <w:tab w:val="num" w:pos="3615"/>
        </w:tabs>
        <w:ind w:left="3615" w:hanging="360"/>
      </w:pPr>
      <w:rPr>
        <w:rFonts w:ascii="Courier New" w:hAnsi="Courier New" w:cs="Courier New" w:hint="default"/>
      </w:rPr>
    </w:lvl>
    <w:lvl w:ilvl="5" w:tplc="040E0005" w:tentative="1">
      <w:start w:val="1"/>
      <w:numFmt w:val="bullet"/>
      <w:lvlText w:val=""/>
      <w:lvlJc w:val="left"/>
      <w:pPr>
        <w:tabs>
          <w:tab w:val="num" w:pos="4335"/>
        </w:tabs>
        <w:ind w:left="4335" w:hanging="360"/>
      </w:pPr>
      <w:rPr>
        <w:rFonts w:ascii="Wingdings" w:hAnsi="Wingdings" w:hint="default"/>
      </w:rPr>
    </w:lvl>
    <w:lvl w:ilvl="6" w:tplc="040E0001" w:tentative="1">
      <w:start w:val="1"/>
      <w:numFmt w:val="bullet"/>
      <w:lvlText w:val=""/>
      <w:lvlJc w:val="left"/>
      <w:pPr>
        <w:tabs>
          <w:tab w:val="num" w:pos="5055"/>
        </w:tabs>
        <w:ind w:left="5055" w:hanging="360"/>
      </w:pPr>
      <w:rPr>
        <w:rFonts w:ascii="Symbol" w:hAnsi="Symbol" w:hint="default"/>
      </w:rPr>
    </w:lvl>
    <w:lvl w:ilvl="7" w:tplc="040E0003" w:tentative="1">
      <w:start w:val="1"/>
      <w:numFmt w:val="bullet"/>
      <w:lvlText w:val="o"/>
      <w:lvlJc w:val="left"/>
      <w:pPr>
        <w:tabs>
          <w:tab w:val="num" w:pos="5775"/>
        </w:tabs>
        <w:ind w:left="5775" w:hanging="360"/>
      </w:pPr>
      <w:rPr>
        <w:rFonts w:ascii="Courier New" w:hAnsi="Courier New" w:cs="Courier New" w:hint="default"/>
      </w:rPr>
    </w:lvl>
    <w:lvl w:ilvl="8" w:tplc="040E0005" w:tentative="1">
      <w:start w:val="1"/>
      <w:numFmt w:val="bullet"/>
      <w:lvlText w:val=""/>
      <w:lvlJc w:val="left"/>
      <w:pPr>
        <w:tabs>
          <w:tab w:val="num" w:pos="6495"/>
        </w:tabs>
        <w:ind w:left="6495" w:hanging="360"/>
      </w:pPr>
      <w:rPr>
        <w:rFonts w:ascii="Wingdings" w:hAnsi="Wingdings" w:hint="default"/>
      </w:rPr>
    </w:lvl>
  </w:abstractNum>
  <w:abstractNum w:abstractNumId="28" w15:restartNumberingAfterBreak="0">
    <w:nsid w:val="19982208"/>
    <w:multiLevelType w:val="hybridMultilevel"/>
    <w:tmpl w:val="A2565A0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A90DF7"/>
    <w:multiLevelType w:val="hybridMultilevel"/>
    <w:tmpl w:val="E33AA6C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FD1082"/>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1B0D7A83"/>
    <w:multiLevelType w:val="multilevel"/>
    <w:tmpl w:val="DB725200"/>
    <w:styleLink w:val="CowiNumberList"/>
    <w:lvl w:ilvl="0">
      <w:start w:val="1"/>
      <w:numFmt w:val="decimal"/>
      <w:pStyle w:val="Szmozottlista"/>
      <w:lvlText w:val="%1"/>
      <w:lvlJc w:val="left"/>
      <w:pPr>
        <w:tabs>
          <w:tab w:val="num" w:pos="425"/>
        </w:tabs>
        <w:ind w:left="425" w:hanging="425"/>
      </w:pPr>
      <w:rPr>
        <w:rFonts w:hint="default"/>
      </w:rPr>
    </w:lvl>
    <w:lvl w:ilvl="1">
      <w:start w:val="1"/>
      <w:numFmt w:val="decimal"/>
      <w:lvlText w:val="%1.%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Roman"/>
      <w:pStyle w:val="Szmozottlista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2" w15:restartNumberingAfterBreak="0">
    <w:nsid w:val="1D841A68"/>
    <w:multiLevelType w:val="hybridMultilevel"/>
    <w:tmpl w:val="57024C78"/>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E2946C6"/>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23EE1A4E"/>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24737F16"/>
    <w:multiLevelType w:val="hybridMultilevel"/>
    <w:tmpl w:val="D6063396"/>
    <w:lvl w:ilvl="0" w:tplc="85BAA1EC">
      <w:start w:val="1"/>
      <w:numFmt w:val="decimal"/>
      <w:lvlText w:val="%1.táblázat"/>
      <w:lvlJc w:val="left"/>
      <w:pPr>
        <w:tabs>
          <w:tab w:val="num" w:pos="2574"/>
        </w:tabs>
        <w:ind w:left="2438" w:hanging="1304"/>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24D82A1A"/>
    <w:multiLevelType w:val="hybridMultilevel"/>
    <w:tmpl w:val="C4DE30A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5C238A5"/>
    <w:multiLevelType w:val="hybridMultilevel"/>
    <w:tmpl w:val="9C20207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42650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4316E9"/>
    <w:multiLevelType w:val="hybridMultilevel"/>
    <w:tmpl w:val="4C18BE94"/>
    <w:lvl w:ilvl="0" w:tplc="040E0003">
      <w:start w:val="1"/>
      <w:numFmt w:val="bullet"/>
      <w:lvlText w:val="o"/>
      <w:lvlJc w:val="left"/>
      <w:pPr>
        <w:tabs>
          <w:tab w:val="num" w:pos="780"/>
        </w:tabs>
        <w:ind w:left="780" w:hanging="360"/>
      </w:pPr>
      <w:rPr>
        <w:rFonts w:ascii="Courier New" w:hAnsi="Courier New" w:cs="Courier New" w:hint="default"/>
      </w:rPr>
    </w:lvl>
    <w:lvl w:ilvl="1" w:tplc="040E0003" w:tentative="1">
      <w:start w:val="1"/>
      <w:numFmt w:val="bullet"/>
      <w:lvlText w:val="o"/>
      <w:lvlJc w:val="left"/>
      <w:pPr>
        <w:tabs>
          <w:tab w:val="num" w:pos="1500"/>
        </w:tabs>
        <w:ind w:left="1500" w:hanging="360"/>
      </w:pPr>
      <w:rPr>
        <w:rFonts w:ascii="Courier New" w:hAnsi="Courier New" w:cs="Courier New" w:hint="default"/>
      </w:rPr>
    </w:lvl>
    <w:lvl w:ilvl="2" w:tplc="040E0005" w:tentative="1">
      <w:start w:val="1"/>
      <w:numFmt w:val="bullet"/>
      <w:lvlText w:val=""/>
      <w:lvlJc w:val="left"/>
      <w:pPr>
        <w:tabs>
          <w:tab w:val="num" w:pos="2220"/>
        </w:tabs>
        <w:ind w:left="2220" w:hanging="360"/>
      </w:pPr>
      <w:rPr>
        <w:rFonts w:ascii="Wingdings" w:hAnsi="Wingdings" w:hint="default"/>
      </w:rPr>
    </w:lvl>
    <w:lvl w:ilvl="3" w:tplc="040E0001" w:tentative="1">
      <w:start w:val="1"/>
      <w:numFmt w:val="bullet"/>
      <w:lvlText w:val=""/>
      <w:lvlJc w:val="left"/>
      <w:pPr>
        <w:tabs>
          <w:tab w:val="num" w:pos="2940"/>
        </w:tabs>
        <w:ind w:left="2940" w:hanging="360"/>
      </w:pPr>
      <w:rPr>
        <w:rFonts w:ascii="Symbol" w:hAnsi="Symbol" w:hint="default"/>
      </w:rPr>
    </w:lvl>
    <w:lvl w:ilvl="4" w:tplc="040E0003" w:tentative="1">
      <w:start w:val="1"/>
      <w:numFmt w:val="bullet"/>
      <w:lvlText w:val="o"/>
      <w:lvlJc w:val="left"/>
      <w:pPr>
        <w:tabs>
          <w:tab w:val="num" w:pos="3660"/>
        </w:tabs>
        <w:ind w:left="3660" w:hanging="360"/>
      </w:pPr>
      <w:rPr>
        <w:rFonts w:ascii="Courier New" w:hAnsi="Courier New" w:cs="Courier New" w:hint="default"/>
      </w:rPr>
    </w:lvl>
    <w:lvl w:ilvl="5" w:tplc="040E0005" w:tentative="1">
      <w:start w:val="1"/>
      <w:numFmt w:val="bullet"/>
      <w:lvlText w:val=""/>
      <w:lvlJc w:val="left"/>
      <w:pPr>
        <w:tabs>
          <w:tab w:val="num" w:pos="4380"/>
        </w:tabs>
        <w:ind w:left="4380" w:hanging="360"/>
      </w:pPr>
      <w:rPr>
        <w:rFonts w:ascii="Wingdings" w:hAnsi="Wingdings" w:hint="default"/>
      </w:rPr>
    </w:lvl>
    <w:lvl w:ilvl="6" w:tplc="040E0001" w:tentative="1">
      <w:start w:val="1"/>
      <w:numFmt w:val="bullet"/>
      <w:lvlText w:val=""/>
      <w:lvlJc w:val="left"/>
      <w:pPr>
        <w:tabs>
          <w:tab w:val="num" w:pos="5100"/>
        </w:tabs>
        <w:ind w:left="5100" w:hanging="360"/>
      </w:pPr>
      <w:rPr>
        <w:rFonts w:ascii="Symbol" w:hAnsi="Symbol" w:hint="default"/>
      </w:rPr>
    </w:lvl>
    <w:lvl w:ilvl="7" w:tplc="040E0003" w:tentative="1">
      <w:start w:val="1"/>
      <w:numFmt w:val="bullet"/>
      <w:lvlText w:val="o"/>
      <w:lvlJc w:val="left"/>
      <w:pPr>
        <w:tabs>
          <w:tab w:val="num" w:pos="5820"/>
        </w:tabs>
        <w:ind w:left="5820" w:hanging="360"/>
      </w:pPr>
      <w:rPr>
        <w:rFonts w:ascii="Courier New" w:hAnsi="Courier New" w:cs="Courier New" w:hint="default"/>
      </w:rPr>
    </w:lvl>
    <w:lvl w:ilvl="8" w:tplc="040E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27290296"/>
    <w:multiLevelType w:val="hybridMultilevel"/>
    <w:tmpl w:val="AD480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28D641D5"/>
    <w:multiLevelType w:val="hybridMultilevel"/>
    <w:tmpl w:val="6BB2EDAE"/>
    <w:lvl w:ilvl="0" w:tplc="040E000F">
      <w:start w:val="1"/>
      <w:numFmt w:val="decimal"/>
      <w:lvlText w:val="%1."/>
      <w:lvlJc w:val="left"/>
      <w:pPr>
        <w:ind w:left="720" w:hanging="360"/>
      </w:p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28EC1815"/>
    <w:multiLevelType w:val="hybridMultilevel"/>
    <w:tmpl w:val="6888895A"/>
    <w:lvl w:ilvl="0" w:tplc="040E0001">
      <w:start w:val="1"/>
      <w:numFmt w:val="bullet"/>
      <w:lvlText w:val=""/>
      <w:lvlJc w:val="left"/>
      <w:pPr>
        <w:tabs>
          <w:tab w:val="num" w:pos="782"/>
        </w:tabs>
        <w:ind w:left="782" w:hanging="360"/>
      </w:pPr>
      <w:rPr>
        <w:rFonts w:ascii="Symbol" w:hAnsi="Symbol" w:hint="default"/>
      </w:rPr>
    </w:lvl>
    <w:lvl w:ilvl="1" w:tplc="040E0003" w:tentative="1">
      <w:start w:val="1"/>
      <w:numFmt w:val="bullet"/>
      <w:lvlText w:val="o"/>
      <w:lvlJc w:val="left"/>
      <w:pPr>
        <w:tabs>
          <w:tab w:val="num" w:pos="1502"/>
        </w:tabs>
        <w:ind w:left="1502" w:hanging="360"/>
      </w:pPr>
      <w:rPr>
        <w:rFonts w:ascii="Courier New" w:hAnsi="Courier New" w:cs="Courier New" w:hint="default"/>
      </w:rPr>
    </w:lvl>
    <w:lvl w:ilvl="2" w:tplc="040E0005" w:tentative="1">
      <w:start w:val="1"/>
      <w:numFmt w:val="bullet"/>
      <w:lvlText w:val=""/>
      <w:lvlJc w:val="left"/>
      <w:pPr>
        <w:tabs>
          <w:tab w:val="num" w:pos="2222"/>
        </w:tabs>
        <w:ind w:left="2222" w:hanging="360"/>
      </w:pPr>
      <w:rPr>
        <w:rFonts w:ascii="Wingdings" w:hAnsi="Wingdings" w:hint="default"/>
      </w:rPr>
    </w:lvl>
    <w:lvl w:ilvl="3" w:tplc="040E0001" w:tentative="1">
      <w:start w:val="1"/>
      <w:numFmt w:val="bullet"/>
      <w:lvlText w:val=""/>
      <w:lvlJc w:val="left"/>
      <w:pPr>
        <w:tabs>
          <w:tab w:val="num" w:pos="2942"/>
        </w:tabs>
        <w:ind w:left="2942" w:hanging="360"/>
      </w:pPr>
      <w:rPr>
        <w:rFonts w:ascii="Symbol" w:hAnsi="Symbol" w:hint="default"/>
      </w:rPr>
    </w:lvl>
    <w:lvl w:ilvl="4" w:tplc="040E0003" w:tentative="1">
      <w:start w:val="1"/>
      <w:numFmt w:val="bullet"/>
      <w:lvlText w:val="o"/>
      <w:lvlJc w:val="left"/>
      <w:pPr>
        <w:tabs>
          <w:tab w:val="num" w:pos="3662"/>
        </w:tabs>
        <w:ind w:left="3662" w:hanging="360"/>
      </w:pPr>
      <w:rPr>
        <w:rFonts w:ascii="Courier New" w:hAnsi="Courier New" w:cs="Courier New" w:hint="default"/>
      </w:rPr>
    </w:lvl>
    <w:lvl w:ilvl="5" w:tplc="040E0005" w:tentative="1">
      <w:start w:val="1"/>
      <w:numFmt w:val="bullet"/>
      <w:lvlText w:val=""/>
      <w:lvlJc w:val="left"/>
      <w:pPr>
        <w:tabs>
          <w:tab w:val="num" w:pos="4382"/>
        </w:tabs>
        <w:ind w:left="4382" w:hanging="360"/>
      </w:pPr>
      <w:rPr>
        <w:rFonts w:ascii="Wingdings" w:hAnsi="Wingdings" w:hint="default"/>
      </w:rPr>
    </w:lvl>
    <w:lvl w:ilvl="6" w:tplc="040E0001" w:tentative="1">
      <w:start w:val="1"/>
      <w:numFmt w:val="bullet"/>
      <w:lvlText w:val=""/>
      <w:lvlJc w:val="left"/>
      <w:pPr>
        <w:tabs>
          <w:tab w:val="num" w:pos="5102"/>
        </w:tabs>
        <w:ind w:left="5102" w:hanging="360"/>
      </w:pPr>
      <w:rPr>
        <w:rFonts w:ascii="Symbol" w:hAnsi="Symbol" w:hint="default"/>
      </w:rPr>
    </w:lvl>
    <w:lvl w:ilvl="7" w:tplc="040E0003" w:tentative="1">
      <w:start w:val="1"/>
      <w:numFmt w:val="bullet"/>
      <w:lvlText w:val="o"/>
      <w:lvlJc w:val="left"/>
      <w:pPr>
        <w:tabs>
          <w:tab w:val="num" w:pos="5822"/>
        </w:tabs>
        <w:ind w:left="5822" w:hanging="360"/>
      </w:pPr>
      <w:rPr>
        <w:rFonts w:ascii="Courier New" w:hAnsi="Courier New" w:cs="Courier New" w:hint="default"/>
      </w:rPr>
    </w:lvl>
    <w:lvl w:ilvl="8" w:tplc="040E0005" w:tentative="1">
      <w:start w:val="1"/>
      <w:numFmt w:val="bullet"/>
      <w:lvlText w:val=""/>
      <w:lvlJc w:val="left"/>
      <w:pPr>
        <w:tabs>
          <w:tab w:val="num" w:pos="6542"/>
        </w:tabs>
        <w:ind w:left="6542" w:hanging="360"/>
      </w:pPr>
      <w:rPr>
        <w:rFonts w:ascii="Wingdings" w:hAnsi="Wingdings" w:hint="default"/>
      </w:rPr>
    </w:lvl>
  </w:abstractNum>
  <w:abstractNum w:abstractNumId="43" w15:restartNumberingAfterBreak="0">
    <w:nsid w:val="29A14F86"/>
    <w:multiLevelType w:val="hybridMultilevel"/>
    <w:tmpl w:val="2390D5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29ED318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AB35592"/>
    <w:multiLevelType w:val="hybridMultilevel"/>
    <w:tmpl w:val="218EBF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2C060C8C"/>
    <w:multiLevelType w:val="multilevel"/>
    <w:tmpl w:val="25BC28F6"/>
    <w:lvl w:ilvl="0">
      <w:start w:val="1"/>
      <w:numFmt w:val="decimal"/>
      <w:lvlText w:val="%1."/>
      <w:lvlJc w:val="left"/>
      <w:pPr>
        <w:tabs>
          <w:tab w:val="num" w:pos="862"/>
        </w:tabs>
        <w:ind w:left="502"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160"/>
        </w:tabs>
        <w:ind w:left="86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47" w15:restartNumberingAfterBreak="0">
    <w:nsid w:val="2C7E246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2CB96A0C"/>
    <w:multiLevelType w:val="hybridMultilevel"/>
    <w:tmpl w:val="297001F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2DDC0285"/>
    <w:multiLevelType w:val="hybridMultilevel"/>
    <w:tmpl w:val="99200A1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0060099"/>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3023585A"/>
    <w:multiLevelType w:val="hybridMultilevel"/>
    <w:tmpl w:val="5D88B4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31B4100F"/>
    <w:multiLevelType w:val="hybridMultilevel"/>
    <w:tmpl w:val="D84216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15:restartNumberingAfterBreak="0">
    <w:nsid w:val="32EA08F4"/>
    <w:multiLevelType w:val="hybridMultilevel"/>
    <w:tmpl w:val="9B0E12C6"/>
    <w:lvl w:ilvl="0" w:tplc="C706BD5C">
      <w:start w:val="1"/>
      <w:numFmt w:val="bullet"/>
      <w:pStyle w:val="OkeanmagyarazatbekezdesCharChar1"/>
      <w:lvlText w:val=""/>
      <w:lvlJc w:val="left"/>
      <w:pPr>
        <w:tabs>
          <w:tab w:val="num" w:pos="1271"/>
        </w:tabs>
        <w:ind w:left="1271" w:hanging="397"/>
      </w:pPr>
      <w:rPr>
        <w:rFonts w:ascii="Wingdings" w:hAnsi="Wingdings" w:hint="default"/>
      </w:rPr>
    </w:lvl>
    <w:lvl w:ilvl="1" w:tplc="8C82E270">
      <w:start w:val="1"/>
      <w:numFmt w:val="bullet"/>
      <w:lvlText w:val=""/>
      <w:lvlJc w:val="left"/>
      <w:pPr>
        <w:tabs>
          <w:tab w:val="num" w:pos="1724"/>
        </w:tabs>
        <w:ind w:left="1724" w:hanging="360"/>
      </w:pPr>
      <w:rPr>
        <w:rFonts w:ascii="Symbol" w:hAnsi="Symbol" w:hint="default"/>
        <w:color w:val="auto"/>
      </w:rPr>
    </w:lvl>
    <w:lvl w:ilvl="2" w:tplc="040E0005">
      <w:start w:val="1"/>
      <w:numFmt w:val="bullet"/>
      <w:lvlText w:val=""/>
      <w:lvlJc w:val="left"/>
      <w:pPr>
        <w:tabs>
          <w:tab w:val="num" w:pos="2444"/>
        </w:tabs>
        <w:ind w:left="2444" w:hanging="360"/>
      </w:pPr>
      <w:rPr>
        <w:rFonts w:ascii="Wingdings" w:hAnsi="Wingdings" w:hint="default"/>
      </w:rPr>
    </w:lvl>
    <w:lvl w:ilvl="3" w:tplc="040E0001" w:tentative="1">
      <w:start w:val="1"/>
      <w:numFmt w:val="bullet"/>
      <w:lvlText w:val=""/>
      <w:lvlJc w:val="left"/>
      <w:pPr>
        <w:tabs>
          <w:tab w:val="num" w:pos="3164"/>
        </w:tabs>
        <w:ind w:left="3164" w:hanging="360"/>
      </w:pPr>
      <w:rPr>
        <w:rFonts w:ascii="Symbol" w:hAnsi="Symbol" w:hint="default"/>
      </w:rPr>
    </w:lvl>
    <w:lvl w:ilvl="4" w:tplc="040E0003" w:tentative="1">
      <w:start w:val="1"/>
      <w:numFmt w:val="bullet"/>
      <w:lvlText w:val="o"/>
      <w:lvlJc w:val="left"/>
      <w:pPr>
        <w:tabs>
          <w:tab w:val="num" w:pos="3884"/>
        </w:tabs>
        <w:ind w:left="3884" w:hanging="360"/>
      </w:pPr>
      <w:rPr>
        <w:rFonts w:ascii="Courier New" w:hAnsi="Courier New" w:cs="Courier New" w:hint="default"/>
      </w:rPr>
    </w:lvl>
    <w:lvl w:ilvl="5" w:tplc="040E0005" w:tentative="1">
      <w:start w:val="1"/>
      <w:numFmt w:val="bullet"/>
      <w:lvlText w:val=""/>
      <w:lvlJc w:val="left"/>
      <w:pPr>
        <w:tabs>
          <w:tab w:val="num" w:pos="4604"/>
        </w:tabs>
        <w:ind w:left="4604" w:hanging="360"/>
      </w:pPr>
      <w:rPr>
        <w:rFonts w:ascii="Wingdings" w:hAnsi="Wingdings" w:hint="default"/>
      </w:rPr>
    </w:lvl>
    <w:lvl w:ilvl="6" w:tplc="040E0001" w:tentative="1">
      <w:start w:val="1"/>
      <w:numFmt w:val="bullet"/>
      <w:lvlText w:val=""/>
      <w:lvlJc w:val="left"/>
      <w:pPr>
        <w:tabs>
          <w:tab w:val="num" w:pos="5324"/>
        </w:tabs>
        <w:ind w:left="5324" w:hanging="360"/>
      </w:pPr>
      <w:rPr>
        <w:rFonts w:ascii="Symbol" w:hAnsi="Symbol" w:hint="default"/>
      </w:rPr>
    </w:lvl>
    <w:lvl w:ilvl="7" w:tplc="040E0003" w:tentative="1">
      <w:start w:val="1"/>
      <w:numFmt w:val="bullet"/>
      <w:lvlText w:val="o"/>
      <w:lvlJc w:val="left"/>
      <w:pPr>
        <w:tabs>
          <w:tab w:val="num" w:pos="6044"/>
        </w:tabs>
        <w:ind w:left="6044" w:hanging="360"/>
      </w:pPr>
      <w:rPr>
        <w:rFonts w:ascii="Courier New" w:hAnsi="Courier New" w:cs="Courier New" w:hint="default"/>
      </w:rPr>
    </w:lvl>
    <w:lvl w:ilvl="8" w:tplc="040E0005" w:tentative="1">
      <w:start w:val="1"/>
      <w:numFmt w:val="bullet"/>
      <w:lvlText w:val=""/>
      <w:lvlJc w:val="left"/>
      <w:pPr>
        <w:tabs>
          <w:tab w:val="num" w:pos="6764"/>
        </w:tabs>
        <w:ind w:left="6764" w:hanging="360"/>
      </w:pPr>
      <w:rPr>
        <w:rFonts w:ascii="Wingdings" w:hAnsi="Wingdings" w:hint="default"/>
      </w:rPr>
    </w:lvl>
  </w:abstractNum>
  <w:abstractNum w:abstractNumId="54" w15:restartNumberingAfterBreak="0">
    <w:nsid w:val="33E46E29"/>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351108C9"/>
    <w:multiLevelType w:val="hybridMultilevel"/>
    <w:tmpl w:val="D3EA3A8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5460955"/>
    <w:multiLevelType w:val="hybridMultilevel"/>
    <w:tmpl w:val="46824680"/>
    <w:lvl w:ilvl="0" w:tplc="16B6A172">
      <w:start w:val="1"/>
      <w:numFmt w:val="bullet"/>
      <w:lvlText w:val=""/>
      <w:lvlJc w:val="left"/>
      <w:pPr>
        <w:tabs>
          <w:tab w:val="num" w:pos="1200"/>
        </w:tabs>
        <w:ind w:left="1200" w:hanging="360"/>
      </w:pPr>
      <w:rPr>
        <w:rFonts w:ascii="Symbol" w:hAnsi="Symbol" w:hint="default"/>
      </w:rPr>
    </w:lvl>
    <w:lvl w:ilvl="1" w:tplc="040E0003" w:tentative="1">
      <w:start w:val="1"/>
      <w:numFmt w:val="bullet"/>
      <w:lvlText w:val="o"/>
      <w:lvlJc w:val="left"/>
      <w:pPr>
        <w:tabs>
          <w:tab w:val="num" w:pos="1920"/>
        </w:tabs>
        <w:ind w:left="1920" w:hanging="360"/>
      </w:pPr>
      <w:rPr>
        <w:rFonts w:ascii="Courier New" w:hAnsi="Courier New" w:cs="Courier New" w:hint="default"/>
      </w:rPr>
    </w:lvl>
    <w:lvl w:ilvl="2" w:tplc="040E0005" w:tentative="1">
      <w:start w:val="1"/>
      <w:numFmt w:val="bullet"/>
      <w:lvlText w:val=""/>
      <w:lvlJc w:val="left"/>
      <w:pPr>
        <w:tabs>
          <w:tab w:val="num" w:pos="2640"/>
        </w:tabs>
        <w:ind w:left="2640" w:hanging="360"/>
      </w:pPr>
      <w:rPr>
        <w:rFonts w:ascii="Wingdings" w:hAnsi="Wingdings" w:hint="default"/>
      </w:rPr>
    </w:lvl>
    <w:lvl w:ilvl="3" w:tplc="040E0001" w:tentative="1">
      <w:start w:val="1"/>
      <w:numFmt w:val="bullet"/>
      <w:lvlText w:val=""/>
      <w:lvlJc w:val="left"/>
      <w:pPr>
        <w:tabs>
          <w:tab w:val="num" w:pos="3360"/>
        </w:tabs>
        <w:ind w:left="3360" w:hanging="360"/>
      </w:pPr>
      <w:rPr>
        <w:rFonts w:ascii="Symbol" w:hAnsi="Symbol" w:hint="default"/>
      </w:rPr>
    </w:lvl>
    <w:lvl w:ilvl="4" w:tplc="040E0003" w:tentative="1">
      <w:start w:val="1"/>
      <w:numFmt w:val="bullet"/>
      <w:lvlText w:val="o"/>
      <w:lvlJc w:val="left"/>
      <w:pPr>
        <w:tabs>
          <w:tab w:val="num" w:pos="4080"/>
        </w:tabs>
        <w:ind w:left="4080" w:hanging="360"/>
      </w:pPr>
      <w:rPr>
        <w:rFonts w:ascii="Courier New" w:hAnsi="Courier New" w:cs="Courier New" w:hint="default"/>
      </w:rPr>
    </w:lvl>
    <w:lvl w:ilvl="5" w:tplc="040E0005" w:tentative="1">
      <w:start w:val="1"/>
      <w:numFmt w:val="bullet"/>
      <w:lvlText w:val=""/>
      <w:lvlJc w:val="left"/>
      <w:pPr>
        <w:tabs>
          <w:tab w:val="num" w:pos="4800"/>
        </w:tabs>
        <w:ind w:left="4800" w:hanging="360"/>
      </w:pPr>
      <w:rPr>
        <w:rFonts w:ascii="Wingdings" w:hAnsi="Wingdings" w:hint="default"/>
      </w:rPr>
    </w:lvl>
    <w:lvl w:ilvl="6" w:tplc="040E0001" w:tentative="1">
      <w:start w:val="1"/>
      <w:numFmt w:val="bullet"/>
      <w:lvlText w:val=""/>
      <w:lvlJc w:val="left"/>
      <w:pPr>
        <w:tabs>
          <w:tab w:val="num" w:pos="5520"/>
        </w:tabs>
        <w:ind w:left="5520" w:hanging="360"/>
      </w:pPr>
      <w:rPr>
        <w:rFonts w:ascii="Symbol" w:hAnsi="Symbol" w:hint="default"/>
      </w:rPr>
    </w:lvl>
    <w:lvl w:ilvl="7" w:tplc="040E0003" w:tentative="1">
      <w:start w:val="1"/>
      <w:numFmt w:val="bullet"/>
      <w:lvlText w:val="o"/>
      <w:lvlJc w:val="left"/>
      <w:pPr>
        <w:tabs>
          <w:tab w:val="num" w:pos="6240"/>
        </w:tabs>
        <w:ind w:left="6240" w:hanging="360"/>
      </w:pPr>
      <w:rPr>
        <w:rFonts w:ascii="Courier New" w:hAnsi="Courier New" w:cs="Courier New" w:hint="default"/>
      </w:rPr>
    </w:lvl>
    <w:lvl w:ilvl="8" w:tplc="040E0005" w:tentative="1">
      <w:start w:val="1"/>
      <w:numFmt w:val="bullet"/>
      <w:lvlText w:val=""/>
      <w:lvlJc w:val="left"/>
      <w:pPr>
        <w:tabs>
          <w:tab w:val="num" w:pos="6960"/>
        </w:tabs>
        <w:ind w:left="6960" w:hanging="360"/>
      </w:pPr>
      <w:rPr>
        <w:rFonts w:ascii="Wingdings" w:hAnsi="Wingdings" w:hint="default"/>
      </w:rPr>
    </w:lvl>
  </w:abstractNum>
  <w:abstractNum w:abstractNumId="57" w15:restartNumberingAfterBreak="0">
    <w:nsid w:val="355D6690"/>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368254F8"/>
    <w:multiLevelType w:val="hybridMultilevel"/>
    <w:tmpl w:val="FDD68814"/>
    <w:lvl w:ilvl="0" w:tplc="07082684">
      <w:start w:val="1"/>
      <w:numFmt w:val="bullet"/>
      <w:lvlText w:val=""/>
      <w:lvlJc w:val="left"/>
      <w:pPr>
        <w:tabs>
          <w:tab w:val="num" w:pos="360"/>
        </w:tabs>
        <w:ind w:left="360" w:hanging="360"/>
      </w:pPr>
      <w:rPr>
        <w:rFonts w:ascii="Wingdings" w:hAnsi="Wingdings" w:hint="default"/>
      </w:rPr>
    </w:lvl>
    <w:lvl w:ilvl="1" w:tplc="040E0003">
      <w:start w:val="1"/>
      <w:numFmt w:val="bullet"/>
      <w:lvlText w:val="o"/>
      <w:lvlJc w:val="left"/>
      <w:pPr>
        <w:tabs>
          <w:tab w:val="num" w:pos="1080"/>
        </w:tabs>
        <w:ind w:left="1080" w:hanging="360"/>
      </w:pPr>
      <w:rPr>
        <w:rFonts w:ascii="Courier New" w:hAnsi="Courier New" w:cs="Courier New" w:hint="default"/>
      </w:rPr>
    </w:lvl>
    <w:lvl w:ilvl="2" w:tplc="040E0005">
      <w:start w:val="1"/>
      <w:numFmt w:val="bullet"/>
      <w:lvlText w:val=""/>
      <w:lvlJc w:val="left"/>
      <w:pPr>
        <w:tabs>
          <w:tab w:val="num" w:pos="1800"/>
        </w:tabs>
        <w:ind w:left="1800" w:hanging="360"/>
      </w:pPr>
      <w:rPr>
        <w:rFonts w:ascii="Wingdings" w:hAnsi="Wingdings" w:hint="default"/>
      </w:rPr>
    </w:lvl>
    <w:lvl w:ilvl="3" w:tplc="155E0B7E">
      <w:start w:val="5"/>
      <w:numFmt w:val="bullet"/>
      <w:lvlText w:val="-"/>
      <w:lvlJc w:val="left"/>
      <w:pPr>
        <w:tabs>
          <w:tab w:val="num" w:pos="2865"/>
        </w:tabs>
        <w:ind w:left="2865" w:hanging="705"/>
      </w:pPr>
      <w:rPr>
        <w:rFonts w:ascii="Times New Roman" w:eastAsia="Times New Roman" w:hAnsi="Times New Roman" w:cs="Times New Roman"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79E7985"/>
    <w:multiLevelType w:val="hybridMultilevel"/>
    <w:tmpl w:val="69DCAAE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0" w15:restartNumberingAfterBreak="0">
    <w:nsid w:val="37CC4821"/>
    <w:multiLevelType w:val="hybridMultilevel"/>
    <w:tmpl w:val="2FE4B1F0"/>
    <w:lvl w:ilvl="0" w:tplc="E076B5F4">
      <w:start w:val="1"/>
      <w:numFmt w:val="bullet"/>
      <w:lvlText w:val=""/>
      <w:lvlJc w:val="left"/>
      <w:pPr>
        <w:tabs>
          <w:tab w:val="num" w:pos="1174"/>
        </w:tabs>
        <w:ind w:left="1174" w:hanging="360"/>
      </w:pPr>
      <w:rPr>
        <w:rFonts w:ascii="Symbol" w:hAnsi="Symbol" w:hint="default"/>
        <w:color w:val="auto"/>
      </w:rPr>
    </w:lvl>
    <w:lvl w:ilvl="1" w:tplc="BE4CEB20">
      <w:numFmt w:val="bullet"/>
      <w:lvlText w:val="·"/>
      <w:lvlJc w:val="left"/>
      <w:pPr>
        <w:ind w:left="1894" w:hanging="360"/>
      </w:pPr>
      <w:rPr>
        <w:rFonts w:ascii="Times New Roman" w:eastAsia="Times New Roman" w:hAnsi="Times New Roman" w:cs="Times New Roman" w:hint="default"/>
      </w:rPr>
    </w:lvl>
    <w:lvl w:ilvl="2" w:tplc="040E0005" w:tentative="1">
      <w:start w:val="1"/>
      <w:numFmt w:val="bullet"/>
      <w:lvlText w:val=""/>
      <w:lvlJc w:val="left"/>
      <w:pPr>
        <w:tabs>
          <w:tab w:val="num" w:pos="2614"/>
        </w:tabs>
        <w:ind w:left="2614" w:hanging="360"/>
      </w:pPr>
      <w:rPr>
        <w:rFonts w:ascii="Wingdings" w:hAnsi="Wingdings" w:hint="default"/>
      </w:rPr>
    </w:lvl>
    <w:lvl w:ilvl="3" w:tplc="040E0001" w:tentative="1">
      <w:start w:val="1"/>
      <w:numFmt w:val="bullet"/>
      <w:lvlText w:val=""/>
      <w:lvlJc w:val="left"/>
      <w:pPr>
        <w:tabs>
          <w:tab w:val="num" w:pos="3334"/>
        </w:tabs>
        <w:ind w:left="3334" w:hanging="360"/>
      </w:pPr>
      <w:rPr>
        <w:rFonts w:ascii="Symbol" w:hAnsi="Symbol" w:hint="default"/>
      </w:rPr>
    </w:lvl>
    <w:lvl w:ilvl="4" w:tplc="040E0003" w:tentative="1">
      <w:start w:val="1"/>
      <w:numFmt w:val="bullet"/>
      <w:lvlText w:val="o"/>
      <w:lvlJc w:val="left"/>
      <w:pPr>
        <w:tabs>
          <w:tab w:val="num" w:pos="4054"/>
        </w:tabs>
        <w:ind w:left="4054" w:hanging="360"/>
      </w:pPr>
      <w:rPr>
        <w:rFonts w:ascii="Courier New" w:hAnsi="Courier New" w:cs="Courier New" w:hint="default"/>
      </w:rPr>
    </w:lvl>
    <w:lvl w:ilvl="5" w:tplc="040E0005" w:tentative="1">
      <w:start w:val="1"/>
      <w:numFmt w:val="bullet"/>
      <w:lvlText w:val=""/>
      <w:lvlJc w:val="left"/>
      <w:pPr>
        <w:tabs>
          <w:tab w:val="num" w:pos="4774"/>
        </w:tabs>
        <w:ind w:left="4774" w:hanging="360"/>
      </w:pPr>
      <w:rPr>
        <w:rFonts w:ascii="Wingdings" w:hAnsi="Wingdings" w:hint="default"/>
      </w:rPr>
    </w:lvl>
    <w:lvl w:ilvl="6" w:tplc="040E0001" w:tentative="1">
      <w:start w:val="1"/>
      <w:numFmt w:val="bullet"/>
      <w:lvlText w:val=""/>
      <w:lvlJc w:val="left"/>
      <w:pPr>
        <w:tabs>
          <w:tab w:val="num" w:pos="5494"/>
        </w:tabs>
        <w:ind w:left="5494" w:hanging="360"/>
      </w:pPr>
      <w:rPr>
        <w:rFonts w:ascii="Symbol" w:hAnsi="Symbol" w:hint="default"/>
      </w:rPr>
    </w:lvl>
    <w:lvl w:ilvl="7" w:tplc="040E0003" w:tentative="1">
      <w:start w:val="1"/>
      <w:numFmt w:val="bullet"/>
      <w:lvlText w:val="o"/>
      <w:lvlJc w:val="left"/>
      <w:pPr>
        <w:tabs>
          <w:tab w:val="num" w:pos="6214"/>
        </w:tabs>
        <w:ind w:left="6214" w:hanging="360"/>
      </w:pPr>
      <w:rPr>
        <w:rFonts w:ascii="Courier New" w:hAnsi="Courier New" w:cs="Courier New" w:hint="default"/>
      </w:rPr>
    </w:lvl>
    <w:lvl w:ilvl="8" w:tplc="040E0005" w:tentative="1">
      <w:start w:val="1"/>
      <w:numFmt w:val="bullet"/>
      <w:lvlText w:val=""/>
      <w:lvlJc w:val="left"/>
      <w:pPr>
        <w:tabs>
          <w:tab w:val="num" w:pos="6934"/>
        </w:tabs>
        <w:ind w:left="6934" w:hanging="360"/>
      </w:pPr>
      <w:rPr>
        <w:rFonts w:ascii="Wingdings" w:hAnsi="Wingdings" w:hint="default"/>
      </w:rPr>
    </w:lvl>
  </w:abstractNum>
  <w:abstractNum w:abstractNumId="61" w15:restartNumberingAfterBreak="0">
    <w:nsid w:val="38206DF4"/>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3B5C6991"/>
    <w:multiLevelType w:val="hybridMultilevel"/>
    <w:tmpl w:val="44CA7096"/>
    <w:lvl w:ilvl="0" w:tplc="1AEAD58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3BA44CCE"/>
    <w:multiLevelType w:val="hybridMultilevel"/>
    <w:tmpl w:val="71564D74"/>
    <w:lvl w:ilvl="0" w:tplc="04EABD5C">
      <w:start w:val="1"/>
      <w:numFmt w:val="bullet"/>
      <w:lvlText w:val=""/>
      <w:lvlJc w:val="left"/>
      <w:pPr>
        <w:tabs>
          <w:tab w:val="num" w:pos="720"/>
        </w:tabs>
        <w:ind w:left="720" w:hanging="360"/>
      </w:pPr>
      <w:rPr>
        <w:rFonts w:ascii="Symbol" w:hAnsi="Symbol" w:hint="default"/>
      </w:rPr>
    </w:lvl>
    <w:lvl w:ilvl="1" w:tplc="EC482F7A">
      <w:start w:val="1"/>
      <w:numFmt w:val="bullet"/>
      <w:lvlText w:val="-"/>
      <w:lvlJc w:val="left"/>
      <w:pPr>
        <w:tabs>
          <w:tab w:val="num" w:pos="1440"/>
        </w:tabs>
        <w:ind w:left="1440" w:hanging="360"/>
      </w:pPr>
      <w:rPr>
        <w:rFonts w:ascii="Times New Roman" w:hAnsi="Times New Roman" w:cs="Times New Roman" w:hint="default"/>
      </w:rPr>
    </w:lvl>
    <w:lvl w:ilvl="2" w:tplc="C576DCA0" w:tentative="1">
      <w:start w:val="1"/>
      <w:numFmt w:val="bullet"/>
      <w:lvlText w:val=""/>
      <w:lvlJc w:val="left"/>
      <w:pPr>
        <w:tabs>
          <w:tab w:val="num" w:pos="2160"/>
        </w:tabs>
        <w:ind w:left="2160" w:hanging="360"/>
      </w:pPr>
      <w:rPr>
        <w:rFonts w:ascii="Wingdings" w:hAnsi="Wingdings" w:hint="default"/>
      </w:rPr>
    </w:lvl>
    <w:lvl w:ilvl="3" w:tplc="8B5CD776" w:tentative="1">
      <w:start w:val="1"/>
      <w:numFmt w:val="bullet"/>
      <w:lvlText w:val=""/>
      <w:lvlJc w:val="left"/>
      <w:pPr>
        <w:tabs>
          <w:tab w:val="num" w:pos="2880"/>
        </w:tabs>
        <w:ind w:left="2880" w:hanging="360"/>
      </w:pPr>
      <w:rPr>
        <w:rFonts w:ascii="Symbol" w:hAnsi="Symbol" w:hint="default"/>
      </w:rPr>
    </w:lvl>
    <w:lvl w:ilvl="4" w:tplc="52BEDA8E" w:tentative="1">
      <w:start w:val="1"/>
      <w:numFmt w:val="bullet"/>
      <w:lvlText w:val="o"/>
      <w:lvlJc w:val="left"/>
      <w:pPr>
        <w:tabs>
          <w:tab w:val="num" w:pos="3600"/>
        </w:tabs>
        <w:ind w:left="3600" w:hanging="360"/>
      </w:pPr>
      <w:rPr>
        <w:rFonts w:ascii="Courier New" w:hAnsi="Courier New" w:cs="Courier New" w:hint="default"/>
      </w:rPr>
    </w:lvl>
    <w:lvl w:ilvl="5" w:tplc="193A171C" w:tentative="1">
      <w:start w:val="1"/>
      <w:numFmt w:val="bullet"/>
      <w:lvlText w:val=""/>
      <w:lvlJc w:val="left"/>
      <w:pPr>
        <w:tabs>
          <w:tab w:val="num" w:pos="4320"/>
        </w:tabs>
        <w:ind w:left="4320" w:hanging="360"/>
      </w:pPr>
      <w:rPr>
        <w:rFonts w:ascii="Wingdings" w:hAnsi="Wingdings" w:hint="default"/>
      </w:rPr>
    </w:lvl>
    <w:lvl w:ilvl="6" w:tplc="CFACAA7C" w:tentative="1">
      <w:start w:val="1"/>
      <w:numFmt w:val="bullet"/>
      <w:lvlText w:val=""/>
      <w:lvlJc w:val="left"/>
      <w:pPr>
        <w:tabs>
          <w:tab w:val="num" w:pos="5040"/>
        </w:tabs>
        <w:ind w:left="5040" w:hanging="360"/>
      </w:pPr>
      <w:rPr>
        <w:rFonts w:ascii="Symbol" w:hAnsi="Symbol" w:hint="default"/>
      </w:rPr>
    </w:lvl>
    <w:lvl w:ilvl="7" w:tplc="CBF277C2" w:tentative="1">
      <w:start w:val="1"/>
      <w:numFmt w:val="bullet"/>
      <w:lvlText w:val="o"/>
      <w:lvlJc w:val="left"/>
      <w:pPr>
        <w:tabs>
          <w:tab w:val="num" w:pos="5760"/>
        </w:tabs>
        <w:ind w:left="5760" w:hanging="360"/>
      </w:pPr>
      <w:rPr>
        <w:rFonts w:ascii="Courier New" w:hAnsi="Courier New" w:cs="Courier New" w:hint="default"/>
      </w:rPr>
    </w:lvl>
    <w:lvl w:ilvl="8" w:tplc="ABEE5E6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C1D656A"/>
    <w:multiLevelType w:val="hybridMultilevel"/>
    <w:tmpl w:val="A67EDCAA"/>
    <w:lvl w:ilvl="0" w:tplc="040E0001">
      <w:start w:val="1"/>
      <w:numFmt w:val="bullet"/>
      <w:lvlText w:val=""/>
      <w:lvlJc w:val="left"/>
      <w:pPr>
        <w:tabs>
          <w:tab w:val="num" w:pos="1146"/>
        </w:tabs>
        <w:ind w:left="1146" w:hanging="360"/>
      </w:pPr>
      <w:rPr>
        <w:rFonts w:ascii="Symbol" w:hAnsi="Symbol" w:hint="default"/>
      </w:rPr>
    </w:lvl>
    <w:lvl w:ilvl="1" w:tplc="040E0003">
      <w:start w:val="1"/>
      <w:numFmt w:val="bullet"/>
      <w:lvlText w:val="o"/>
      <w:lvlJc w:val="left"/>
      <w:pPr>
        <w:tabs>
          <w:tab w:val="num" w:pos="1866"/>
        </w:tabs>
        <w:ind w:left="1866" w:hanging="360"/>
      </w:pPr>
      <w:rPr>
        <w:rFonts w:ascii="Courier New" w:hAnsi="Courier New" w:cs="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cs="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cs="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65" w15:restartNumberingAfterBreak="0">
    <w:nsid w:val="3C2D5CCE"/>
    <w:multiLevelType w:val="hybridMultilevel"/>
    <w:tmpl w:val="4088FB76"/>
    <w:lvl w:ilvl="0" w:tplc="040E0001">
      <w:start w:val="1"/>
      <w:numFmt w:val="bullet"/>
      <w:lvlText w:val=""/>
      <w:lvlJc w:val="left"/>
      <w:pPr>
        <w:ind w:left="720" w:hanging="360"/>
      </w:pPr>
      <w:rPr>
        <w:rFonts w:ascii="Symbol" w:hAnsi="Symbol" w:hint="default"/>
      </w:rPr>
    </w:lvl>
    <w:lvl w:ilvl="1" w:tplc="DD1C2B40"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3E7A1AF1"/>
    <w:multiLevelType w:val="multilevel"/>
    <w:tmpl w:val="DB725200"/>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Roman"/>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7" w15:restartNumberingAfterBreak="0">
    <w:nsid w:val="413D0429"/>
    <w:multiLevelType w:val="hybridMultilevel"/>
    <w:tmpl w:val="72F472B4"/>
    <w:lvl w:ilvl="0" w:tplc="040E0001">
      <w:start w:val="1"/>
      <w:numFmt w:val="bullet"/>
      <w:lvlText w:val=""/>
      <w:lvlJc w:val="left"/>
      <w:pPr>
        <w:tabs>
          <w:tab w:val="num" w:pos="785"/>
        </w:tabs>
        <w:ind w:left="785" w:hanging="360"/>
      </w:pPr>
      <w:rPr>
        <w:rFonts w:ascii="Symbol" w:hAnsi="Symbol" w:hint="default"/>
      </w:rPr>
    </w:lvl>
    <w:lvl w:ilvl="1" w:tplc="040E0003" w:tentative="1">
      <w:start w:val="1"/>
      <w:numFmt w:val="bullet"/>
      <w:lvlText w:val="o"/>
      <w:lvlJc w:val="left"/>
      <w:pPr>
        <w:tabs>
          <w:tab w:val="num" w:pos="1505"/>
        </w:tabs>
        <w:ind w:left="1505" w:hanging="360"/>
      </w:pPr>
      <w:rPr>
        <w:rFonts w:ascii="Courier New" w:hAnsi="Courier New" w:cs="Courier New" w:hint="default"/>
      </w:rPr>
    </w:lvl>
    <w:lvl w:ilvl="2" w:tplc="040E0005" w:tentative="1">
      <w:start w:val="1"/>
      <w:numFmt w:val="bullet"/>
      <w:lvlText w:val=""/>
      <w:lvlJc w:val="left"/>
      <w:pPr>
        <w:tabs>
          <w:tab w:val="num" w:pos="2225"/>
        </w:tabs>
        <w:ind w:left="2225" w:hanging="360"/>
      </w:pPr>
      <w:rPr>
        <w:rFonts w:ascii="Wingdings" w:hAnsi="Wingdings" w:hint="default"/>
      </w:rPr>
    </w:lvl>
    <w:lvl w:ilvl="3" w:tplc="040E0001" w:tentative="1">
      <w:start w:val="1"/>
      <w:numFmt w:val="bullet"/>
      <w:lvlText w:val=""/>
      <w:lvlJc w:val="left"/>
      <w:pPr>
        <w:tabs>
          <w:tab w:val="num" w:pos="2945"/>
        </w:tabs>
        <w:ind w:left="2945" w:hanging="360"/>
      </w:pPr>
      <w:rPr>
        <w:rFonts w:ascii="Symbol" w:hAnsi="Symbol" w:hint="default"/>
      </w:rPr>
    </w:lvl>
    <w:lvl w:ilvl="4" w:tplc="040E0003" w:tentative="1">
      <w:start w:val="1"/>
      <w:numFmt w:val="bullet"/>
      <w:lvlText w:val="o"/>
      <w:lvlJc w:val="left"/>
      <w:pPr>
        <w:tabs>
          <w:tab w:val="num" w:pos="3665"/>
        </w:tabs>
        <w:ind w:left="3665" w:hanging="360"/>
      </w:pPr>
      <w:rPr>
        <w:rFonts w:ascii="Courier New" w:hAnsi="Courier New" w:cs="Courier New" w:hint="default"/>
      </w:rPr>
    </w:lvl>
    <w:lvl w:ilvl="5" w:tplc="040E0005" w:tentative="1">
      <w:start w:val="1"/>
      <w:numFmt w:val="bullet"/>
      <w:lvlText w:val=""/>
      <w:lvlJc w:val="left"/>
      <w:pPr>
        <w:tabs>
          <w:tab w:val="num" w:pos="4385"/>
        </w:tabs>
        <w:ind w:left="4385" w:hanging="360"/>
      </w:pPr>
      <w:rPr>
        <w:rFonts w:ascii="Wingdings" w:hAnsi="Wingdings" w:hint="default"/>
      </w:rPr>
    </w:lvl>
    <w:lvl w:ilvl="6" w:tplc="040E0001" w:tentative="1">
      <w:start w:val="1"/>
      <w:numFmt w:val="bullet"/>
      <w:lvlText w:val=""/>
      <w:lvlJc w:val="left"/>
      <w:pPr>
        <w:tabs>
          <w:tab w:val="num" w:pos="5105"/>
        </w:tabs>
        <w:ind w:left="5105" w:hanging="360"/>
      </w:pPr>
      <w:rPr>
        <w:rFonts w:ascii="Symbol" w:hAnsi="Symbol" w:hint="default"/>
      </w:rPr>
    </w:lvl>
    <w:lvl w:ilvl="7" w:tplc="040E0003" w:tentative="1">
      <w:start w:val="1"/>
      <w:numFmt w:val="bullet"/>
      <w:lvlText w:val="o"/>
      <w:lvlJc w:val="left"/>
      <w:pPr>
        <w:tabs>
          <w:tab w:val="num" w:pos="5825"/>
        </w:tabs>
        <w:ind w:left="5825" w:hanging="360"/>
      </w:pPr>
      <w:rPr>
        <w:rFonts w:ascii="Courier New" w:hAnsi="Courier New" w:cs="Courier New" w:hint="default"/>
      </w:rPr>
    </w:lvl>
    <w:lvl w:ilvl="8" w:tplc="040E0005" w:tentative="1">
      <w:start w:val="1"/>
      <w:numFmt w:val="bullet"/>
      <w:lvlText w:val=""/>
      <w:lvlJc w:val="left"/>
      <w:pPr>
        <w:tabs>
          <w:tab w:val="num" w:pos="6545"/>
        </w:tabs>
        <w:ind w:left="6545" w:hanging="360"/>
      </w:pPr>
      <w:rPr>
        <w:rFonts w:ascii="Wingdings" w:hAnsi="Wingdings" w:hint="default"/>
      </w:rPr>
    </w:lvl>
  </w:abstractNum>
  <w:abstractNum w:abstractNumId="68" w15:restartNumberingAfterBreak="0">
    <w:nsid w:val="41A76D00"/>
    <w:multiLevelType w:val="hybridMultilevel"/>
    <w:tmpl w:val="2FC05A74"/>
    <w:lvl w:ilvl="0" w:tplc="A70C25C8">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42044403"/>
    <w:multiLevelType w:val="hybridMultilevel"/>
    <w:tmpl w:val="E0DA8916"/>
    <w:lvl w:ilvl="0" w:tplc="040E0001">
      <w:start w:val="1"/>
      <w:numFmt w:val="bullet"/>
      <w:lvlText w:val=""/>
      <w:lvlJc w:val="left"/>
      <w:pPr>
        <w:ind w:left="1110" w:hanging="360"/>
      </w:pPr>
      <w:rPr>
        <w:rFonts w:ascii="Symbol" w:hAnsi="Symbol" w:hint="default"/>
      </w:rPr>
    </w:lvl>
    <w:lvl w:ilvl="1" w:tplc="040E0003">
      <w:start w:val="1"/>
      <w:numFmt w:val="bullet"/>
      <w:lvlText w:val="o"/>
      <w:lvlJc w:val="left"/>
      <w:pPr>
        <w:ind w:left="1830" w:hanging="360"/>
      </w:pPr>
      <w:rPr>
        <w:rFonts w:ascii="Courier New" w:hAnsi="Courier New" w:cs="Courier New" w:hint="default"/>
      </w:rPr>
    </w:lvl>
    <w:lvl w:ilvl="2" w:tplc="040E0005" w:tentative="1">
      <w:start w:val="1"/>
      <w:numFmt w:val="bullet"/>
      <w:lvlText w:val=""/>
      <w:lvlJc w:val="left"/>
      <w:pPr>
        <w:ind w:left="2550" w:hanging="360"/>
      </w:pPr>
      <w:rPr>
        <w:rFonts w:ascii="Wingdings" w:hAnsi="Wingdings" w:hint="default"/>
      </w:rPr>
    </w:lvl>
    <w:lvl w:ilvl="3" w:tplc="040E0001" w:tentative="1">
      <w:start w:val="1"/>
      <w:numFmt w:val="bullet"/>
      <w:lvlText w:val=""/>
      <w:lvlJc w:val="left"/>
      <w:pPr>
        <w:ind w:left="3270" w:hanging="360"/>
      </w:pPr>
      <w:rPr>
        <w:rFonts w:ascii="Symbol" w:hAnsi="Symbol" w:hint="default"/>
      </w:rPr>
    </w:lvl>
    <w:lvl w:ilvl="4" w:tplc="040E0003" w:tentative="1">
      <w:start w:val="1"/>
      <w:numFmt w:val="bullet"/>
      <w:lvlText w:val="o"/>
      <w:lvlJc w:val="left"/>
      <w:pPr>
        <w:ind w:left="3990" w:hanging="360"/>
      </w:pPr>
      <w:rPr>
        <w:rFonts w:ascii="Courier New" w:hAnsi="Courier New" w:cs="Courier New" w:hint="default"/>
      </w:rPr>
    </w:lvl>
    <w:lvl w:ilvl="5" w:tplc="040E0005" w:tentative="1">
      <w:start w:val="1"/>
      <w:numFmt w:val="bullet"/>
      <w:lvlText w:val=""/>
      <w:lvlJc w:val="left"/>
      <w:pPr>
        <w:ind w:left="4710" w:hanging="360"/>
      </w:pPr>
      <w:rPr>
        <w:rFonts w:ascii="Wingdings" w:hAnsi="Wingdings" w:hint="default"/>
      </w:rPr>
    </w:lvl>
    <w:lvl w:ilvl="6" w:tplc="040E0001" w:tentative="1">
      <w:start w:val="1"/>
      <w:numFmt w:val="bullet"/>
      <w:lvlText w:val=""/>
      <w:lvlJc w:val="left"/>
      <w:pPr>
        <w:ind w:left="5430" w:hanging="360"/>
      </w:pPr>
      <w:rPr>
        <w:rFonts w:ascii="Symbol" w:hAnsi="Symbol" w:hint="default"/>
      </w:rPr>
    </w:lvl>
    <w:lvl w:ilvl="7" w:tplc="040E0003" w:tentative="1">
      <w:start w:val="1"/>
      <w:numFmt w:val="bullet"/>
      <w:lvlText w:val="o"/>
      <w:lvlJc w:val="left"/>
      <w:pPr>
        <w:ind w:left="6150" w:hanging="360"/>
      </w:pPr>
      <w:rPr>
        <w:rFonts w:ascii="Courier New" w:hAnsi="Courier New" w:cs="Courier New" w:hint="default"/>
      </w:rPr>
    </w:lvl>
    <w:lvl w:ilvl="8" w:tplc="040E0005" w:tentative="1">
      <w:start w:val="1"/>
      <w:numFmt w:val="bullet"/>
      <w:lvlText w:val=""/>
      <w:lvlJc w:val="left"/>
      <w:pPr>
        <w:ind w:left="6870" w:hanging="360"/>
      </w:pPr>
      <w:rPr>
        <w:rFonts w:ascii="Wingdings" w:hAnsi="Wingdings" w:hint="default"/>
      </w:rPr>
    </w:lvl>
  </w:abstractNum>
  <w:abstractNum w:abstractNumId="70" w15:restartNumberingAfterBreak="0">
    <w:nsid w:val="42B271A8"/>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42BC759F"/>
    <w:multiLevelType w:val="hybridMultilevel"/>
    <w:tmpl w:val="168EA2B4"/>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6684766"/>
    <w:multiLevelType w:val="hybridMultilevel"/>
    <w:tmpl w:val="92764370"/>
    <w:lvl w:ilvl="0" w:tplc="40E63D4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3" w15:restartNumberingAfterBreak="0">
    <w:nsid w:val="47EF7091"/>
    <w:multiLevelType w:val="hybridMultilevel"/>
    <w:tmpl w:val="668C61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CFD6FEF6"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49F57D5D"/>
    <w:multiLevelType w:val="hybridMultilevel"/>
    <w:tmpl w:val="7C44D2EE"/>
    <w:lvl w:ilvl="0" w:tplc="7196F770">
      <w:start w:val="1"/>
      <w:numFmt w:val="bullet"/>
      <w:pStyle w:val="Felsorols"/>
      <w:lvlText w:val=""/>
      <w:lvlJc w:val="left"/>
      <w:pPr>
        <w:tabs>
          <w:tab w:val="num" w:pos="425"/>
        </w:tabs>
        <w:ind w:left="425" w:hanging="425"/>
      </w:pPr>
      <w:rPr>
        <w:rFonts w:ascii="Symbol" w:hAnsi="Symbol" w:hint="default"/>
        <w:sz w:val="16"/>
        <w:szCs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A4E67A5"/>
    <w:multiLevelType w:val="hybridMultilevel"/>
    <w:tmpl w:val="A7420F4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B2D318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B4E2EE2"/>
    <w:multiLevelType w:val="hybridMultilevel"/>
    <w:tmpl w:val="7D92D178"/>
    <w:lvl w:ilvl="0" w:tplc="B1C67BA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4C5F210D"/>
    <w:multiLevelType w:val="hybridMultilevel"/>
    <w:tmpl w:val="572CB95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DA459B7"/>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15:restartNumberingAfterBreak="0">
    <w:nsid w:val="4DA60D26"/>
    <w:multiLevelType w:val="hybridMultilevel"/>
    <w:tmpl w:val="C1126E9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1" w15:restartNumberingAfterBreak="0">
    <w:nsid w:val="4DC42FB1"/>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52025A8E"/>
    <w:multiLevelType w:val="hybridMultilevel"/>
    <w:tmpl w:val="901C0F4C"/>
    <w:lvl w:ilvl="0" w:tplc="48B0EE40">
      <w:start w:val="1"/>
      <w:numFmt w:val="bullet"/>
      <w:lvlText w:val=""/>
      <w:lvlJc w:val="left"/>
      <w:pPr>
        <w:ind w:left="720" w:hanging="360"/>
      </w:pPr>
      <w:rPr>
        <w:rFonts w:ascii="Symbol" w:hAnsi="Symbol" w:hint="default"/>
      </w:rPr>
    </w:lvl>
    <w:lvl w:ilvl="1" w:tplc="BD923C86" w:tentative="1">
      <w:start w:val="1"/>
      <w:numFmt w:val="bullet"/>
      <w:lvlText w:val="o"/>
      <w:lvlJc w:val="left"/>
      <w:pPr>
        <w:ind w:left="1440" w:hanging="360"/>
      </w:pPr>
      <w:rPr>
        <w:rFonts w:ascii="Courier New" w:hAnsi="Courier New" w:cs="Courier New" w:hint="default"/>
      </w:rPr>
    </w:lvl>
    <w:lvl w:ilvl="2" w:tplc="3132C9EC" w:tentative="1">
      <w:start w:val="1"/>
      <w:numFmt w:val="bullet"/>
      <w:lvlText w:val=""/>
      <w:lvlJc w:val="left"/>
      <w:pPr>
        <w:ind w:left="2160" w:hanging="360"/>
      </w:pPr>
      <w:rPr>
        <w:rFonts w:ascii="Wingdings" w:hAnsi="Wingdings" w:hint="default"/>
      </w:rPr>
    </w:lvl>
    <w:lvl w:ilvl="3" w:tplc="0CEC15CE" w:tentative="1">
      <w:start w:val="1"/>
      <w:numFmt w:val="bullet"/>
      <w:lvlText w:val=""/>
      <w:lvlJc w:val="left"/>
      <w:pPr>
        <w:ind w:left="2880" w:hanging="360"/>
      </w:pPr>
      <w:rPr>
        <w:rFonts w:ascii="Symbol" w:hAnsi="Symbol" w:hint="default"/>
      </w:rPr>
    </w:lvl>
    <w:lvl w:ilvl="4" w:tplc="07F80C34" w:tentative="1">
      <w:start w:val="1"/>
      <w:numFmt w:val="bullet"/>
      <w:lvlText w:val="o"/>
      <w:lvlJc w:val="left"/>
      <w:pPr>
        <w:ind w:left="3600" w:hanging="360"/>
      </w:pPr>
      <w:rPr>
        <w:rFonts w:ascii="Courier New" w:hAnsi="Courier New" w:cs="Courier New" w:hint="default"/>
      </w:rPr>
    </w:lvl>
    <w:lvl w:ilvl="5" w:tplc="86C24A6E" w:tentative="1">
      <w:start w:val="1"/>
      <w:numFmt w:val="bullet"/>
      <w:lvlText w:val=""/>
      <w:lvlJc w:val="left"/>
      <w:pPr>
        <w:ind w:left="4320" w:hanging="360"/>
      </w:pPr>
      <w:rPr>
        <w:rFonts w:ascii="Wingdings" w:hAnsi="Wingdings" w:hint="default"/>
      </w:rPr>
    </w:lvl>
    <w:lvl w:ilvl="6" w:tplc="DB7245DC" w:tentative="1">
      <w:start w:val="1"/>
      <w:numFmt w:val="bullet"/>
      <w:lvlText w:val=""/>
      <w:lvlJc w:val="left"/>
      <w:pPr>
        <w:ind w:left="5040" w:hanging="360"/>
      </w:pPr>
      <w:rPr>
        <w:rFonts w:ascii="Symbol" w:hAnsi="Symbol" w:hint="default"/>
      </w:rPr>
    </w:lvl>
    <w:lvl w:ilvl="7" w:tplc="845C4A08" w:tentative="1">
      <w:start w:val="1"/>
      <w:numFmt w:val="bullet"/>
      <w:lvlText w:val="o"/>
      <w:lvlJc w:val="left"/>
      <w:pPr>
        <w:ind w:left="5760" w:hanging="360"/>
      </w:pPr>
      <w:rPr>
        <w:rFonts w:ascii="Courier New" w:hAnsi="Courier New" w:cs="Courier New" w:hint="default"/>
      </w:rPr>
    </w:lvl>
    <w:lvl w:ilvl="8" w:tplc="A7B423DE" w:tentative="1">
      <w:start w:val="1"/>
      <w:numFmt w:val="bullet"/>
      <w:lvlText w:val=""/>
      <w:lvlJc w:val="left"/>
      <w:pPr>
        <w:ind w:left="6480" w:hanging="360"/>
      </w:pPr>
      <w:rPr>
        <w:rFonts w:ascii="Wingdings" w:hAnsi="Wingdings" w:hint="default"/>
      </w:rPr>
    </w:lvl>
  </w:abstractNum>
  <w:abstractNum w:abstractNumId="83" w15:restartNumberingAfterBreak="0">
    <w:nsid w:val="566E6F00"/>
    <w:multiLevelType w:val="hybridMultilevel"/>
    <w:tmpl w:val="253A9ED2"/>
    <w:lvl w:ilvl="0" w:tplc="040E0001">
      <w:start w:val="1"/>
      <w:numFmt w:val="bullet"/>
      <w:lvlText w:val=""/>
      <w:lvlJc w:val="left"/>
      <w:pPr>
        <w:tabs>
          <w:tab w:val="num" w:pos="814"/>
        </w:tabs>
        <w:ind w:left="814"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7010C8D"/>
    <w:multiLevelType w:val="hybridMultilevel"/>
    <w:tmpl w:val="CC1E0F72"/>
    <w:lvl w:ilvl="0" w:tplc="CCDC89C8">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A05AE1"/>
    <w:multiLevelType w:val="hybridMultilevel"/>
    <w:tmpl w:val="8A72A7AC"/>
    <w:lvl w:ilvl="0" w:tplc="F654A356">
      <w:start w:val="1"/>
      <w:numFmt w:val="bullet"/>
      <w:lvlText w:val=""/>
      <w:lvlJc w:val="left"/>
      <w:pPr>
        <w:tabs>
          <w:tab w:val="num" w:pos="720"/>
        </w:tabs>
        <w:ind w:left="720" w:hanging="360"/>
      </w:pPr>
      <w:rPr>
        <w:rFonts w:ascii="Symbol" w:hAnsi="Symbol" w:hint="default"/>
      </w:rPr>
    </w:lvl>
    <w:lvl w:ilvl="1" w:tplc="BCE42708" w:tentative="1">
      <w:start w:val="1"/>
      <w:numFmt w:val="bullet"/>
      <w:lvlText w:val="o"/>
      <w:lvlJc w:val="left"/>
      <w:pPr>
        <w:tabs>
          <w:tab w:val="num" w:pos="1440"/>
        </w:tabs>
        <w:ind w:left="1440" w:hanging="360"/>
      </w:pPr>
      <w:rPr>
        <w:rFonts w:ascii="Courier New" w:hAnsi="Courier New" w:cs="Courier New" w:hint="default"/>
      </w:rPr>
    </w:lvl>
    <w:lvl w:ilvl="2" w:tplc="D8106A4C" w:tentative="1">
      <w:start w:val="1"/>
      <w:numFmt w:val="bullet"/>
      <w:lvlText w:val=""/>
      <w:lvlJc w:val="left"/>
      <w:pPr>
        <w:tabs>
          <w:tab w:val="num" w:pos="2160"/>
        </w:tabs>
        <w:ind w:left="2160" w:hanging="360"/>
      </w:pPr>
      <w:rPr>
        <w:rFonts w:ascii="Wingdings" w:hAnsi="Wingdings" w:hint="default"/>
      </w:rPr>
    </w:lvl>
    <w:lvl w:ilvl="3" w:tplc="7D780A96" w:tentative="1">
      <w:start w:val="1"/>
      <w:numFmt w:val="bullet"/>
      <w:lvlText w:val=""/>
      <w:lvlJc w:val="left"/>
      <w:pPr>
        <w:tabs>
          <w:tab w:val="num" w:pos="2880"/>
        </w:tabs>
        <w:ind w:left="2880" w:hanging="360"/>
      </w:pPr>
      <w:rPr>
        <w:rFonts w:ascii="Symbol" w:hAnsi="Symbol" w:hint="default"/>
      </w:rPr>
    </w:lvl>
    <w:lvl w:ilvl="4" w:tplc="6332DDDA" w:tentative="1">
      <w:start w:val="1"/>
      <w:numFmt w:val="bullet"/>
      <w:lvlText w:val="o"/>
      <w:lvlJc w:val="left"/>
      <w:pPr>
        <w:tabs>
          <w:tab w:val="num" w:pos="3600"/>
        </w:tabs>
        <w:ind w:left="3600" w:hanging="360"/>
      </w:pPr>
      <w:rPr>
        <w:rFonts w:ascii="Courier New" w:hAnsi="Courier New" w:cs="Courier New" w:hint="default"/>
      </w:rPr>
    </w:lvl>
    <w:lvl w:ilvl="5" w:tplc="75D85FE2" w:tentative="1">
      <w:start w:val="1"/>
      <w:numFmt w:val="bullet"/>
      <w:lvlText w:val=""/>
      <w:lvlJc w:val="left"/>
      <w:pPr>
        <w:tabs>
          <w:tab w:val="num" w:pos="4320"/>
        </w:tabs>
        <w:ind w:left="4320" w:hanging="360"/>
      </w:pPr>
      <w:rPr>
        <w:rFonts w:ascii="Wingdings" w:hAnsi="Wingdings" w:hint="default"/>
      </w:rPr>
    </w:lvl>
    <w:lvl w:ilvl="6" w:tplc="C2ACE728" w:tentative="1">
      <w:start w:val="1"/>
      <w:numFmt w:val="bullet"/>
      <w:lvlText w:val=""/>
      <w:lvlJc w:val="left"/>
      <w:pPr>
        <w:tabs>
          <w:tab w:val="num" w:pos="5040"/>
        </w:tabs>
        <w:ind w:left="5040" w:hanging="360"/>
      </w:pPr>
      <w:rPr>
        <w:rFonts w:ascii="Symbol" w:hAnsi="Symbol" w:hint="default"/>
      </w:rPr>
    </w:lvl>
    <w:lvl w:ilvl="7" w:tplc="A73ADABE" w:tentative="1">
      <w:start w:val="1"/>
      <w:numFmt w:val="bullet"/>
      <w:lvlText w:val="o"/>
      <w:lvlJc w:val="left"/>
      <w:pPr>
        <w:tabs>
          <w:tab w:val="num" w:pos="5760"/>
        </w:tabs>
        <w:ind w:left="5760" w:hanging="360"/>
      </w:pPr>
      <w:rPr>
        <w:rFonts w:ascii="Courier New" w:hAnsi="Courier New" w:cs="Courier New" w:hint="default"/>
      </w:rPr>
    </w:lvl>
    <w:lvl w:ilvl="8" w:tplc="52B45C40"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8E22449"/>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5949124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9A01EC4"/>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59CD4AD0"/>
    <w:multiLevelType w:val="multilevel"/>
    <w:tmpl w:val="BA98CC08"/>
    <w:lvl w:ilvl="0">
      <w:start w:val="1"/>
      <w:numFmt w:val="bullet"/>
      <w:lvlText w:val=""/>
      <w:lvlPicBulletId w:val="2"/>
      <w:lvlJc w:val="left"/>
      <w:pPr>
        <w:tabs>
          <w:tab w:val="num" w:pos="425"/>
        </w:tabs>
        <w:ind w:left="425" w:hanging="425"/>
      </w:pPr>
      <w:rPr>
        <w:rFonts w:ascii="Symbol" w:hAnsi="Symbol" w:hint="default"/>
        <w:color w:val="auto"/>
        <w:position w:val="1"/>
        <w:sz w:val="24"/>
      </w:rPr>
    </w:lvl>
    <w:lvl w:ilvl="1">
      <w:start w:val="1"/>
      <w:numFmt w:val="bullet"/>
      <w:lvlText w:val=""/>
      <w:lvlPicBulletId w:val="3"/>
      <w:lvlJc w:val="left"/>
      <w:pPr>
        <w:tabs>
          <w:tab w:val="num" w:pos="851"/>
        </w:tabs>
        <w:ind w:left="851" w:hanging="426"/>
      </w:pPr>
      <w:rPr>
        <w:rFonts w:ascii="Symbol" w:hAnsi="Symbol" w:hint="default"/>
        <w:color w:val="auto"/>
        <w:position w:val="1"/>
        <w:sz w:val="24"/>
      </w:rPr>
    </w:lvl>
    <w:lvl w:ilvl="2">
      <w:start w:val="1"/>
      <w:numFmt w:val="bullet"/>
      <w:lvlText w:val="›"/>
      <w:lvlJc w:val="left"/>
      <w:pPr>
        <w:tabs>
          <w:tab w:val="num" w:pos="1276"/>
        </w:tabs>
        <w:ind w:left="1276" w:hanging="425"/>
      </w:pPr>
      <w:rPr>
        <w:color w:val="333333"/>
        <w:position w:val="1"/>
        <w:sz w:val="24"/>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0" w15:restartNumberingAfterBreak="0">
    <w:nsid w:val="5B0F1DA7"/>
    <w:multiLevelType w:val="multilevel"/>
    <w:tmpl w:val="652829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5DDD22B7"/>
    <w:multiLevelType w:val="hybridMultilevel"/>
    <w:tmpl w:val="1B70FDDC"/>
    <w:lvl w:ilvl="0" w:tplc="D2661914">
      <w:start w:val="1"/>
      <w:numFmt w:val="bullet"/>
      <w:lvlText w:val=""/>
      <w:lvlJc w:val="left"/>
      <w:pPr>
        <w:tabs>
          <w:tab w:val="num" w:pos="720"/>
        </w:tabs>
        <w:ind w:left="720" w:hanging="360"/>
      </w:pPr>
      <w:rPr>
        <w:rFonts w:ascii="Symbol" w:hAnsi="Symbol" w:hint="default"/>
      </w:rPr>
    </w:lvl>
    <w:lvl w:ilvl="1" w:tplc="7BDC1224" w:tentative="1">
      <w:start w:val="1"/>
      <w:numFmt w:val="bullet"/>
      <w:lvlText w:val="o"/>
      <w:lvlJc w:val="left"/>
      <w:pPr>
        <w:tabs>
          <w:tab w:val="num" w:pos="1440"/>
        </w:tabs>
        <w:ind w:left="1440" w:hanging="360"/>
      </w:pPr>
      <w:rPr>
        <w:rFonts w:ascii="Courier New" w:hAnsi="Courier New" w:cs="Courier New" w:hint="default"/>
      </w:rPr>
    </w:lvl>
    <w:lvl w:ilvl="2" w:tplc="4A96C0F0" w:tentative="1">
      <w:start w:val="1"/>
      <w:numFmt w:val="bullet"/>
      <w:lvlText w:val=""/>
      <w:lvlJc w:val="left"/>
      <w:pPr>
        <w:tabs>
          <w:tab w:val="num" w:pos="2160"/>
        </w:tabs>
        <w:ind w:left="2160" w:hanging="360"/>
      </w:pPr>
      <w:rPr>
        <w:rFonts w:ascii="Wingdings" w:hAnsi="Wingdings" w:hint="default"/>
      </w:rPr>
    </w:lvl>
    <w:lvl w:ilvl="3" w:tplc="60B8F87E" w:tentative="1">
      <w:start w:val="1"/>
      <w:numFmt w:val="bullet"/>
      <w:lvlText w:val=""/>
      <w:lvlJc w:val="left"/>
      <w:pPr>
        <w:tabs>
          <w:tab w:val="num" w:pos="2880"/>
        </w:tabs>
        <w:ind w:left="2880" w:hanging="360"/>
      </w:pPr>
      <w:rPr>
        <w:rFonts w:ascii="Symbol" w:hAnsi="Symbol" w:hint="default"/>
      </w:rPr>
    </w:lvl>
    <w:lvl w:ilvl="4" w:tplc="7C0436E6" w:tentative="1">
      <w:start w:val="1"/>
      <w:numFmt w:val="bullet"/>
      <w:lvlText w:val="o"/>
      <w:lvlJc w:val="left"/>
      <w:pPr>
        <w:tabs>
          <w:tab w:val="num" w:pos="3600"/>
        </w:tabs>
        <w:ind w:left="3600" w:hanging="360"/>
      </w:pPr>
      <w:rPr>
        <w:rFonts w:ascii="Courier New" w:hAnsi="Courier New" w:cs="Courier New" w:hint="default"/>
      </w:rPr>
    </w:lvl>
    <w:lvl w:ilvl="5" w:tplc="729EB8D4" w:tentative="1">
      <w:start w:val="1"/>
      <w:numFmt w:val="bullet"/>
      <w:lvlText w:val=""/>
      <w:lvlJc w:val="left"/>
      <w:pPr>
        <w:tabs>
          <w:tab w:val="num" w:pos="4320"/>
        </w:tabs>
        <w:ind w:left="4320" w:hanging="360"/>
      </w:pPr>
      <w:rPr>
        <w:rFonts w:ascii="Wingdings" w:hAnsi="Wingdings" w:hint="default"/>
      </w:rPr>
    </w:lvl>
    <w:lvl w:ilvl="6" w:tplc="35AEAAAE" w:tentative="1">
      <w:start w:val="1"/>
      <w:numFmt w:val="bullet"/>
      <w:lvlText w:val=""/>
      <w:lvlJc w:val="left"/>
      <w:pPr>
        <w:tabs>
          <w:tab w:val="num" w:pos="5040"/>
        </w:tabs>
        <w:ind w:left="5040" w:hanging="360"/>
      </w:pPr>
      <w:rPr>
        <w:rFonts w:ascii="Symbol" w:hAnsi="Symbol" w:hint="default"/>
      </w:rPr>
    </w:lvl>
    <w:lvl w:ilvl="7" w:tplc="5FEAE9A4" w:tentative="1">
      <w:start w:val="1"/>
      <w:numFmt w:val="bullet"/>
      <w:lvlText w:val="o"/>
      <w:lvlJc w:val="left"/>
      <w:pPr>
        <w:tabs>
          <w:tab w:val="num" w:pos="5760"/>
        </w:tabs>
        <w:ind w:left="5760" w:hanging="360"/>
      </w:pPr>
      <w:rPr>
        <w:rFonts w:ascii="Courier New" w:hAnsi="Courier New" w:cs="Courier New" w:hint="default"/>
      </w:rPr>
    </w:lvl>
    <w:lvl w:ilvl="8" w:tplc="CCAA4904"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DFE2EEF"/>
    <w:multiLevelType w:val="hybridMultilevel"/>
    <w:tmpl w:val="8460D5E0"/>
    <w:lvl w:ilvl="0" w:tplc="040E0001">
      <w:start w:val="1"/>
      <w:numFmt w:val="bullet"/>
      <w:lvlText w:val=""/>
      <w:lvlJc w:val="left"/>
      <w:pPr>
        <w:tabs>
          <w:tab w:val="num" w:pos="785"/>
        </w:tabs>
        <w:ind w:left="785" w:hanging="360"/>
      </w:pPr>
      <w:rPr>
        <w:rFonts w:ascii="Symbol" w:hAnsi="Symbol" w:hint="default"/>
      </w:rPr>
    </w:lvl>
    <w:lvl w:ilvl="1" w:tplc="040E0003">
      <w:start w:val="1"/>
      <w:numFmt w:val="bullet"/>
      <w:lvlText w:val="o"/>
      <w:lvlJc w:val="left"/>
      <w:pPr>
        <w:tabs>
          <w:tab w:val="num" w:pos="1505"/>
        </w:tabs>
        <w:ind w:left="1505" w:hanging="360"/>
      </w:pPr>
      <w:rPr>
        <w:rFonts w:ascii="Courier New" w:hAnsi="Courier New" w:cs="Courier New" w:hint="default"/>
      </w:rPr>
    </w:lvl>
    <w:lvl w:ilvl="2" w:tplc="040E0005">
      <w:start w:val="1"/>
      <w:numFmt w:val="bullet"/>
      <w:lvlText w:val=""/>
      <w:lvlJc w:val="left"/>
      <w:pPr>
        <w:tabs>
          <w:tab w:val="num" w:pos="2225"/>
        </w:tabs>
        <w:ind w:left="2225" w:hanging="360"/>
      </w:pPr>
      <w:rPr>
        <w:rFonts w:ascii="Wingdings" w:hAnsi="Wingdings" w:hint="default"/>
      </w:rPr>
    </w:lvl>
    <w:lvl w:ilvl="3" w:tplc="040E0001" w:tentative="1">
      <w:start w:val="1"/>
      <w:numFmt w:val="bullet"/>
      <w:lvlText w:val=""/>
      <w:lvlJc w:val="left"/>
      <w:pPr>
        <w:tabs>
          <w:tab w:val="num" w:pos="2945"/>
        </w:tabs>
        <w:ind w:left="2945" w:hanging="360"/>
      </w:pPr>
      <w:rPr>
        <w:rFonts w:ascii="Symbol" w:hAnsi="Symbol" w:hint="default"/>
      </w:rPr>
    </w:lvl>
    <w:lvl w:ilvl="4" w:tplc="040E0003" w:tentative="1">
      <w:start w:val="1"/>
      <w:numFmt w:val="bullet"/>
      <w:lvlText w:val="o"/>
      <w:lvlJc w:val="left"/>
      <w:pPr>
        <w:tabs>
          <w:tab w:val="num" w:pos="3665"/>
        </w:tabs>
        <w:ind w:left="3665" w:hanging="360"/>
      </w:pPr>
      <w:rPr>
        <w:rFonts w:ascii="Courier New" w:hAnsi="Courier New" w:cs="Courier New" w:hint="default"/>
      </w:rPr>
    </w:lvl>
    <w:lvl w:ilvl="5" w:tplc="040E0005" w:tentative="1">
      <w:start w:val="1"/>
      <w:numFmt w:val="bullet"/>
      <w:lvlText w:val=""/>
      <w:lvlJc w:val="left"/>
      <w:pPr>
        <w:tabs>
          <w:tab w:val="num" w:pos="4385"/>
        </w:tabs>
        <w:ind w:left="4385" w:hanging="360"/>
      </w:pPr>
      <w:rPr>
        <w:rFonts w:ascii="Wingdings" w:hAnsi="Wingdings" w:hint="default"/>
      </w:rPr>
    </w:lvl>
    <w:lvl w:ilvl="6" w:tplc="040E0001" w:tentative="1">
      <w:start w:val="1"/>
      <w:numFmt w:val="bullet"/>
      <w:lvlText w:val=""/>
      <w:lvlJc w:val="left"/>
      <w:pPr>
        <w:tabs>
          <w:tab w:val="num" w:pos="5105"/>
        </w:tabs>
        <w:ind w:left="5105" w:hanging="360"/>
      </w:pPr>
      <w:rPr>
        <w:rFonts w:ascii="Symbol" w:hAnsi="Symbol" w:hint="default"/>
      </w:rPr>
    </w:lvl>
    <w:lvl w:ilvl="7" w:tplc="040E0003" w:tentative="1">
      <w:start w:val="1"/>
      <w:numFmt w:val="bullet"/>
      <w:lvlText w:val="o"/>
      <w:lvlJc w:val="left"/>
      <w:pPr>
        <w:tabs>
          <w:tab w:val="num" w:pos="5825"/>
        </w:tabs>
        <w:ind w:left="5825" w:hanging="360"/>
      </w:pPr>
      <w:rPr>
        <w:rFonts w:ascii="Courier New" w:hAnsi="Courier New" w:cs="Courier New" w:hint="default"/>
      </w:rPr>
    </w:lvl>
    <w:lvl w:ilvl="8" w:tplc="040E0005" w:tentative="1">
      <w:start w:val="1"/>
      <w:numFmt w:val="bullet"/>
      <w:lvlText w:val=""/>
      <w:lvlJc w:val="left"/>
      <w:pPr>
        <w:tabs>
          <w:tab w:val="num" w:pos="6545"/>
        </w:tabs>
        <w:ind w:left="6545" w:hanging="360"/>
      </w:pPr>
      <w:rPr>
        <w:rFonts w:ascii="Wingdings" w:hAnsi="Wingdings" w:hint="default"/>
      </w:rPr>
    </w:lvl>
  </w:abstractNum>
  <w:abstractNum w:abstractNumId="93" w15:restartNumberingAfterBreak="0">
    <w:nsid w:val="5E123421"/>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5ED2577A"/>
    <w:multiLevelType w:val="hybridMultilevel"/>
    <w:tmpl w:val="5ABE8CC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02D70A2"/>
    <w:multiLevelType w:val="hybridMultilevel"/>
    <w:tmpl w:val="9DC661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0F02C5E"/>
    <w:multiLevelType w:val="hybridMultilevel"/>
    <w:tmpl w:val="92C66394"/>
    <w:lvl w:ilvl="0" w:tplc="040E0001">
      <w:start w:val="1"/>
      <w:numFmt w:val="bullet"/>
      <w:lvlText w:val=""/>
      <w:lvlJc w:val="left"/>
      <w:pPr>
        <w:tabs>
          <w:tab w:val="num" w:pos="785"/>
        </w:tabs>
        <w:ind w:left="785" w:hanging="360"/>
      </w:pPr>
      <w:rPr>
        <w:rFonts w:ascii="Symbol" w:hAnsi="Symbol" w:hint="default"/>
      </w:rPr>
    </w:lvl>
    <w:lvl w:ilvl="1" w:tplc="040E0003" w:tentative="1">
      <w:start w:val="1"/>
      <w:numFmt w:val="bullet"/>
      <w:lvlText w:val="o"/>
      <w:lvlJc w:val="left"/>
      <w:pPr>
        <w:tabs>
          <w:tab w:val="num" w:pos="1505"/>
        </w:tabs>
        <w:ind w:left="1505" w:hanging="360"/>
      </w:pPr>
      <w:rPr>
        <w:rFonts w:ascii="Courier New" w:hAnsi="Courier New" w:cs="Courier New" w:hint="default"/>
      </w:rPr>
    </w:lvl>
    <w:lvl w:ilvl="2" w:tplc="040E0005" w:tentative="1">
      <w:start w:val="1"/>
      <w:numFmt w:val="bullet"/>
      <w:lvlText w:val=""/>
      <w:lvlJc w:val="left"/>
      <w:pPr>
        <w:tabs>
          <w:tab w:val="num" w:pos="2225"/>
        </w:tabs>
        <w:ind w:left="2225" w:hanging="360"/>
      </w:pPr>
      <w:rPr>
        <w:rFonts w:ascii="Wingdings" w:hAnsi="Wingdings" w:hint="default"/>
      </w:rPr>
    </w:lvl>
    <w:lvl w:ilvl="3" w:tplc="040E0001" w:tentative="1">
      <w:start w:val="1"/>
      <w:numFmt w:val="bullet"/>
      <w:lvlText w:val=""/>
      <w:lvlJc w:val="left"/>
      <w:pPr>
        <w:tabs>
          <w:tab w:val="num" w:pos="2945"/>
        </w:tabs>
        <w:ind w:left="2945" w:hanging="360"/>
      </w:pPr>
      <w:rPr>
        <w:rFonts w:ascii="Symbol" w:hAnsi="Symbol" w:hint="default"/>
      </w:rPr>
    </w:lvl>
    <w:lvl w:ilvl="4" w:tplc="040E0003" w:tentative="1">
      <w:start w:val="1"/>
      <w:numFmt w:val="bullet"/>
      <w:lvlText w:val="o"/>
      <w:lvlJc w:val="left"/>
      <w:pPr>
        <w:tabs>
          <w:tab w:val="num" w:pos="3665"/>
        </w:tabs>
        <w:ind w:left="3665" w:hanging="360"/>
      </w:pPr>
      <w:rPr>
        <w:rFonts w:ascii="Courier New" w:hAnsi="Courier New" w:cs="Courier New" w:hint="default"/>
      </w:rPr>
    </w:lvl>
    <w:lvl w:ilvl="5" w:tplc="040E0005" w:tentative="1">
      <w:start w:val="1"/>
      <w:numFmt w:val="bullet"/>
      <w:lvlText w:val=""/>
      <w:lvlJc w:val="left"/>
      <w:pPr>
        <w:tabs>
          <w:tab w:val="num" w:pos="4385"/>
        </w:tabs>
        <w:ind w:left="4385" w:hanging="360"/>
      </w:pPr>
      <w:rPr>
        <w:rFonts w:ascii="Wingdings" w:hAnsi="Wingdings" w:hint="default"/>
      </w:rPr>
    </w:lvl>
    <w:lvl w:ilvl="6" w:tplc="040E0001" w:tentative="1">
      <w:start w:val="1"/>
      <w:numFmt w:val="bullet"/>
      <w:lvlText w:val=""/>
      <w:lvlJc w:val="left"/>
      <w:pPr>
        <w:tabs>
          <w:tab w:val="num" w:pos="5105"/>
        </w:tabs>
        <w:ind w:left="5105" w:hanging="360"/>
      </w:pPr>
      <w:rPr>
        <w:rFonts w:ascii="Symbol" w:hAnsi="Symbol" w:hint="default"/>
      </w:rPr>
    </w:lvl>
    <w:lvl w:ilvl="7" w:tplc="040E0003" w:tentative="1">
      <w:start w:val="1"/>
      <w:numFmt w:val="bullet"/>
      <w:lvlText w:val="o"/>
      <w:lvlJc w:val="left"/>
      <w:pPr>
        <w:tabs>
          <w:tab w:val="num" w:pos="5825"/>
        </w:tabs>
        <w:ind w:left="5825" w:hanging="360"/>
      </w:pPr>
      <w:rPr>
        <w:rFonts w:ascii="Courier New" w:hAnsi="Courier New" w:cs="Courier New" w:hint="default"/>
      </w:rPr>
    </w:lvl>
    <w:lvl w:ilvl="8" w:tplc="040E0005" w:tentative="1">
      <w:start w:val="1"/>
      <w:numFmt w:val="bullet"/>
      <w:lvlText w:val=""/>
      <w:lvlJc w:val="left"/>
      <w:pPr>
        <w:tabs>
          <w:tab w:val="num" w:pos="6545"/>
        </w:tabs>
        <w:ind w:left="6545" w:hanging="360"/>
      </w:pPr>
      <w:rPr>
        <w:rFonts w:ascii="Wingdings" w:hAnsi="Wingdings" w:hint="default"/>
      </w:rPr>
    </w:lvl>
  </w:abstractNum>
  <w:abstractNum w:abstractNumId="97" w15:restartNumberingAfterBreak="0">
    <w:nsid w:val="613D2FD3"/>
    <w:multiLevelType w:val="hybridMultilevel"/>
    <w:tmpl w:val="A038293E"/>
    <w:lvl w:ilvl="0" w:tplc="040E0001">
      <w:start w:val="1"/>
      <w:numFmt w:val="bullet"/>
      <w:lvlText w:val=""/>
      <w:lvlJc w:val="left"/>
      <w:pPr>
        <w:ind w:left="720" w:hanging="360"/>
      </w:pPr>
      <w:rPr>
        <w:rFonts w:ascii="Symbol" w:hAnsi="Symbol" w:hint="default"/>
      </w:rPr>
    </w:lvl>
    <w:lvl w:ilvl="1" w:tplc="040E0003">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8" w15:restartNumberingAfterBreak="0">
    <w:nsid w:val="619B3E7A"/>
    <w:multiLevelType w:val="hybridMultilevel"/>
    <w:tmpl w:val="0AE41660"/>
    <w:lvl w:ilvl="0" w:tplc="040E0001">
      <w:start w:val="1"/>
      <w:numFmt w:val="bullet"/>
      <w:lvlText w:val=""/>
      <w:lvlJc w:val="left"/>
      <w:pPr>
        <w:tabs>
          <w:tab w:val="num" w:pos="781"/>
        </w:tabs>
        <w:ind w:left="781" w:hanging="360"/>
      </w:pPr>
      <w:rPr>
        <w:rFonts w:ascii="Symbol" w:hAnsi="Symbol" w:hint="default"/>
      </w:rPr>
    </w:lvl>
    <w:lvl w:ilvl="1" w:tplc="8A1498BE" w:tentative="1">
      <w:start w:val="1"/>
      <w:numFmt w:val="bullet"/>
      <w:lvlText w:val="o"/>
      <w:lvlJc w:val="left"/>
      <w:pPr>
        <w:tabs>
          <w:tab w:val="num" w:pos="1501"/>
        </w:tabs>
        <w:ind w:left="1501" w:hanging="360"/>
      </w:pPr>
      <w:rPr>
        <w:rFonts w:ascii="Courier New" w:hAnsi="Courier New" w:cs="Courier New" w:hint="default"/>
      </w:rPr>
    </w:lvl>
    <w:lvl w:ilvl="2" w:tplc="040E0005" w:tentative="1">
      <w:start w:val="1"/>
      <w:numFmt w:val="bullet"/>
      <w:lvlText w:val=""/>
      <w:lvlJc w:val="left"/>
      <w:pPr>
        <w:tabs>
          <w:tab w:val="num" w:pos="2221"/>
        </w:tabs>
        <w:ind w:left="2221" w:hanging="360"/>
      </w:pPr>
      <w:rPr>
        <w:rFonts w:ascii="Wingdings" w:hAnsi="Wingdings" w:hint="default"/>
      </w:rPr>
    </w:lvl>
    <w:lvl w:ilvl="3" w:tplc="040E0001" w:tentative="1">
      <w:start w:val="1"/>
      <w:numFmt w:val="bullet"/>
      <w:lvlText w:val=""/>
      <w:lvlJc w:val="left"/>
      <w:pPr>
        <w:tabs>
          <w:tab w:val="num" w:pos="2941"/>
        </w:tabs>
        <w:ind w:left="2941" w:hanging="360"/>
      </w:pPr>
      <w:rPr>
        <w:rFonts w:ascii="Symbol" w:hAnsi="Symbol" w:hint="default"/>
      </w:rPr>
    </w:lvl>
    <w:lvl w:ilvl="4" w:tplc="040E0003" w:tentative="1">
      <w:start w:val="1"/>
      <w:numFmt w:val="bullet"/>
      <w:lvlText w:val="o"/>
      <w:lvlJc w:val="left"/>
      <w:pPr>
        <w:tabs>
          <w:tab w:val="num" w:pos="3661"/>
        </w:tabs>
        <w:ind w:left="3661" w:hanging="360"/>
      </w:pPr>
      <w:rPr>
        <w:rFonts w:ascii="Courier New" w:hAnsi="Courier New" w:cs="Courier New" w:hint="default"/>
      </w:rPr>
    </w:lvl>
    <w:lvl w:ilvl="5" w:tplc="040E0005" w:tentative="1">
      <w:start w:val="1"/>
      <w:numFmt w:val="bullet"/>
      <w:lvlText w:val=""/>
      <w:lvlJc w:val="left"/>
      <w:pPr>
        <w:tabs>
          <w:tab w:val="num" w:pos="4381"/>
        </w:tabs>
        <w:ind w:left="4381" w:hanging="360"/>
      </w:pPr>
      <w:rPr>
        <w:rFonts w:ascii="Wingdings" w:hAnsi="Wingdings" w:hint="default"/>
      </w:rPr>
    </w:lvl>
    <w:lvl w:ilvl="6" w:tplc="040E0001" w:tentative="1">
      <w:start w:val="1"/>
      <w:numFmt w:val="bullet"/>
      <w:lvlText w:val=""/>
      <w:lvlJc w:val="left"/>
      <w:pPr>
        <w:tabs>
          <w:tab w:val="num" w:pos="5101"/>
        </w:tabs>
        <w:ind w:left="5101" w:hanging="360"/>
      </w:pPr>
      <w:rPr>
        <w:rFonts w:ascii="Symbol" w:hAnsi="Symbol" w:hint="default"/>
      </w:rPr>
    </w:lvl>
    <w:lvl w:ilvl="7" w:tplc="040E0003" w:tentative="1">
      <w:start w:val="1"/>
      <w:numFmt w:val="bullet"/>
      <w:lvlText w:val="o"/>
      <w:lvlJc w:val="left"/>
      <w:pPr>
        <w:tabs>
          <w:tab w:val="num" w:pos="5821"/>
        </w:tabs>
        <w:ind w:left="5821" w:hanging="360"/>
      </w:pPr>
      <w:rPr>
        <w:rFonts w:ascii="Courier New" w:hAnsi="Courier New" w:cs="Courier New" w:hint="default"/>
      </w:rPr>
    </w:lvl>
    <w:lvl w:ilvl="8" w:tplc="040E0005" w:tentative="1">
      <w:start w:val="1"/>
      <w:numFmt w:val="bullet"/>
      <w:lvlText w:val=""/>
      <w:lvlJc w:val="left"/>
      <w:pPr>
        <w:tabs>
          <w:tab w:val="num" w:pos="6541"/>
        </w:tabs>
        <w:ind w:left="6541" w:hanging="360"/>
      </w:pPr>
      <w:rPr>
        <w:rFonts w:ascii="Wingdings" w:hAnsi="Wingdings" w:hint="default"/>
      </w:rPr>
    </w:lvl>
  </w:abstractNum>
  <w:abstractNum w:abstractNumId="99" w15:restartNumberingAfterBreak="0">
    <w:nsid w:val="62DA1AA0"/>
    <w:multiLevelType w:val="hybridMultilevel"/>
    <w:tmpl w:val="392465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405567A"/>
    <w:multiLevelType w:val="hybridMultilevel"/>
    <w:tmpl w:val="6CD21C2E"/>
    <w:lvl w:ilvl="0" w:tplc="040E0001">
      <w:start w:val="1"/>
      <w:numFmt w:val="bullet"/>
      <w:lvlText w:val="o"/>
      <w:lvlJc w:val="left"/>
      <w:pPr>
        <w:tabs>
          <w:tab w:val="num" w:pos="1080"/>
        </w:tabs>
        <w:ind w:left="1080" w:hanging="360"/>
      </w:pPr>
      <w:rPr>
        <w:rFonts w:ascii="Courier New" w:hAnsi="Courier New" w:cs="Courier New" w:hint="default"/>
      </w:rPr>
    </w:lvl>
    <w:lvl w:ilvl="1" w:tplc="040E0003">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01" w15:restartNumberingAfterBreak="0">
    <w:nsid w:val="64723F24"/>
    <w:multiLevelType w:val="hybridMultilevel"/>
    <w:tmpl w:val="6ED07AE0"/>
    <w:lvl w:ilvl="0" w:tplc="040E0011">
      <w:start w:val="1"/>
      <w:numFmt w:val="decimal"/>
      <w:lvlText w:val="%1)"/>
      <w:lvlJc w:val="left"/>
      <w:pPr>
        <w:ind w:left="720" w:hanging="360"/>
      </w:pPr>
      <w:rPr>
        <w:rFonts w:hint="default"/>
      </w:rPr>
    </w:lvl>
    <w:lvl w:ilvl="1" w:tplc="040E0001">
      <w:start w:val="1"/>
      <w:numFmt w:val="bullet"/>
      <w:lvlText w:val=""/>
      <w:lvlJc w:val="left"/>
      <w:pPr>
        <w:ind w:left="1440" w:hanging="360"/>
      </w:pPr>
      <w:rPr>
        <w:rFonts w:ascii="Symbol" w:hAnsi="Symbol" w:hint="default"/>
      </w:rPr>
    </w:lvl>
    <w:lvl w:ilvl="2" w:tplc="040E0001">
      <w:start w:val="1"/>
      <w:numFmt w:val="bullet"/>
      <w:lvlText w:val=""/>
      <w:lvlJc w:val="left"/>
      <w:pPr>
        <w:ind w:left="2160" w:hanging="180"/>
      </w:pPr>
      <w:rPr>
        <w:rFonts w:ascii="Symbol" w:hAnsi="Symbol" w:hint="default"/>
      </w:rPr>
    </w:lvl>
    <w:lvl w:ilvl="3" w:tplc="5944117E">
      <w:start w:val="1"/>
      <w:numFmt w:val="decimal"/>
      <w:lvlText w:val="%4."/>
      <w:lvlJc w:val="left"/>
      <w:pPr>
        <w:ind w:left="2880" w:hanging="360"/>
      </w:pPr>
      <w:rPr>
        <w:rFonts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65AD63A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6A7578D"/>
    <w:multiLevelType w:val="hybridMultilevel"/>
    <w:tmpl w:val="20C20AA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6E81E1C"/>
    <w:multiLevelType w:val="hybridMultilevel"/>
    <w:tmpl w:val="7CA6812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85666B2"/>
    <w:multiLevelType w:val="multilevel"/>
    <w:tmpl w:val="691A7326"/>
    <w:lvl w:ilvl="0">
      <w:start w:val="1"/>
      <w:numFmt w:val="decimal"/>
      <w:pStyle w:val="Cmsor1"/>
      <w:lvlText w:val="%1"/>
      <w:lvlJc w:val="left"/>
      <w:pPr>
        <w:tabs>
          <w:tab w:val="num" w:pos="851"/>
        </w:tabs>
        <w:ind w:left="851"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msor2"/>
      <w:lvlText w:val="%1.%2"/>
      <w:lvlJc w:val="left"/>
      <w:pPr>
        <w:tabs>
          <w:tab w:val="num" w:pos="0"/>
        </w:tabs>
        <w:ind w:left="851"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msor3"/>
      <w:lvlText w:val="%1.%2.%3"/>
      <w:lvlJc w:val="left"/>
      <w:pPr>
        <w:tabs>
          <w:tab w:val="num" w:pos="720"/>
        </w:tabs>
        <w:ind w:left="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737"/>
        </w:tabs>
        <w:ind w:left="0" w:firstLine="0"/>
      </w:pPr>
      <w:rPr>
        <w:rFonts w:hint="default"/>
      </w:rPr>
    </w:lvl>
    <w:lvl w:ilvl="4">
      <w:start w:val="1"/>
      <w:numFmt w:val="decimal"/>
      <w:lvlText w:val="(%5)"/>
      <w:lvlJc w:val="left"/>
      <w:pPr>
        <w:tabs>
          <w:tab w:val="num" w:pos="1417"/>
        </w:tabs>
        <w:ind w:left="3827" w:hanging="708"/>
      </w:pPr>
      <w:rPr>
        <w:rFonts w:hint="default"/>
      </w:rPr>
    </w:lvl>
    <w:lvl w:ilvl="5">
      <w:start w:val="1"/>
      <w:numFmt w:val="lowerLetter"/>
      <w:pStyle w:val="Cmsor6"/>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pStyle w:val="Cmsor8"/>
      <w:lvlText w:val="(%8)"/>
      <w:lvlJc w:val="left"/>
      <w:pPr>
        <w:tabs>
          <w:tab w:val="num" w:pos="0"/>
        </w:tabs>
        <w:ind w:left="4534" w:hanging="708"/>
      </w:pPr>
      <w:rPr>
        <w:rFonts w:hint="default"/>
      </w:rPr>
    </w:lvl>
    <w:lvl w:ilvl="8">
      <w:start w:val="1"/>
      <w:numFmt w:val="lowerRoman"/>
      <w:pStyle w:val="Cmsor9"/>
      <w:lvlText w:val="(%9)"/>
      <w:lvlJc w:val="left"/>
      <w:pPr>
        <w:tabs>
          <w:tab w:val="num" w:pos="0"/>
        </w:tabs>
        <w:ind w:left="5242" w:hanging="708"/>
      </w:pPr>
      <w:rPr>
        <w:rFonts w:hint="default"/>
      </w:rPr>
    </w:lvl>
  </w:abstractNum>
  <w:abstractNum w:abstractNumId="106" w15:restartNumberingAfterBreak="0">
    <w:nsid w:val="687D5DF0"/>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698F5732"/>
    <w:multiLevelType w:val="hybridMultilevel"/>
    <w:tmpl w:val="5FE692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69A654E6"/>
    <w:multiLevelType w:val="hybridMultilevel"/>
    <w:tmpl w:val="78F6E882"/>
    <w:lvl w:ilvl="0" w:tplc="0C825708">
      <w:start w:val="1"/>
      <w:numFmt w:val="bullet"/>
      <w:lvlText w:val=""/>
      <w:lvlJc w:val="left"/>
      <w:pPr>
        <w:tabs>
          <w:tab w:val="num" w:pos="720"/>
        </w:tabs>
        <w:ind w:left="720" w:hanging="360"/>
      </w:pPr>
      <w:rPr>
        <w:rFonts w:ascii="Symbol" w:hAnsi="Symbol" w:hint="default"/>
      </w:rPr>
    </w:lvl>
    <w:lvl w:ilvl="1" w:tplc="69F44452" w:tentative="1">
      <w:start w:val="1"/>
      <w:numFmt w:val="bullet"/>
      <w:lvlText w:val="o"/>
      <w:lvlJc w:val="left"/>
      <w:pPr>
        <w:tabs>
          <w:tab w:val="num" w:pos="1440"/>
        </w:tabs>
        <w:ind w:left="1440" w:hanging="360"/>
      </w:pPr>
      <w:rPr>
        <w:rFonts w:ascii="Courier New" w:hAnsi="Courier New" w:cs="Courier New" w:hint="default"/>
      </w:rPr>
    </w:lvl>
    <w:lvl w:ilvl="2" w:tplc="88D6FBF0" w:tentative="1">
      <w:start w:val="1"/>
      <w:numFmt w:val="bullet"/>
      <w:lvlText w:val=""/>
      <w:lvlJc w:val="left"/>
      <w:pPr>
        <w:tabs>
          <w:tab w:val="num" w:pos="2160"/>
        </w:tabs>
        <w:ind w:left="2160" w:hanging="360"/>
      </w:pPr>
      <w:rPr>
        <w:rFonts w:ascii="Wingdings" w:hAnsi="Wingdings" w:hint="default"/>
      </w:rPr>
    </w:lvl>
    <w:lvl w:ilvl="3" w:tplc="EE584FBE" w:tentative="1">
      <w:start w:val="1"/>
      <w:numFmt w:val="bullet"/>
      <w:lvlText w:val=""/>
      <w:lvlJc w:val="left"/>
      <w:pPr>
        <w:tabs>
          <w:tab w:val="num" w:pos="2880"/>
        </w:tabs>
        <w:ind w:left="2880" w:hanging="360"/>
      </w:pPr>
      <w:rPr>
        <w:rFonts w:ascii="Symbol" w:hAnsi="Symbol" w:hint="default"/>
      </w:rPr>
    </w:lvl>
    <w:lvl w:ilvl="4" w:tplc="B108EFA6" w:tentative="1">
      <w:start w:val="1"/>
      <w:numFmt w:val="bullet"/>
      <w:lvlText w:val="o"/>
      <w:lvlJc w:val="left"/>
      <w:pPr>
        <w:tabs>
          <w:tab w:val="num" w:pos="3600"/>
        </w:tabs>
        <w:ind w:left="3600" w:hanging="360"/>
      </w:pPr>
      <w:rPr>
        <w:rFonts w:ascii="Courier New" w:hAnsi="Courier New" w:cs="Courier New" w:hint="default"/>
      </w:rPr>
    </w:lvl>
    <w:lvl w:ilvl="5" w:tplc="4A5407EC" w:tentative="1">
      <w:start w:val="1"/>
      <w:numFmt w:val="bullet"/>
      <w:lvlText w:val=""/>
      <w:lvlJc w:val="left"/>
      <w:pPr>
        <w:tabs>
          <w:tab w:val="num" w:pos="4320"/>
        </w:tabs>
        <w:ind w:left="4320" w:hanging="360"/>
      </w:pPr>
      <w:rPr>
        <w:rFonts w:ascii="Wingdings" w:hAnsi="Wingdings" w:hint="default"/>
      </w:rPr>
    </w:lvl>
    <w:lvl w:ilvl="6" w:tplc="2AD44F92" w:tentative="1">
      <w:start w:val="1"/>
      <w:numFmt w:val="bullet"/>
      <w:lvlText w:val=""/>
      <w:lvlJc w:val="left"/>
      <w:pPr>
        <w:tabs>
          <w:tab w:val="num" w:pos="5040"/>
        </w:tabs>
        <w:ind w:left="5040" w:hanging="360"/>
      </w:pPr>
      <w:rPr>
        <w:rFonts w:ascii="Symbol" w:hAnsi="Symbol" w:hint="default"/>
      </w:rPr>
    </w:lvl>
    <w:lvl w:ilvl="7" w:tplc="23E42E66" w:tentative="1">
      <w:start w:val="1"/>
      <w:numFmt w:val="bullet"/>
      <w:lvlText w:val="o"/>
      <w:lvlJc w:val="left"/>
      <w:pPr>
        <w:tabs>
          <w:tab w:val="num" w:pos="5760"/>
        </w:tabs>
        <w:ind w:left="5760" w:hanging="360"/>
      </w:pPr>
      <w:rPr>
        <w:rFonts w:ascii="Courier New" w:hAnsi="Courier New" w:cs="Courier New" w:hint="default"/>
      </w:rPr>
    </w:lvl>
    <w:lvl w:ilvl="8" w:tplc="81BA4D06"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9D71AE2"/>
    <w:multiLevelType w:val="hybridMultilevel"/>
    <w:tmpl w:val="EB92FF26"/>
    <w:lvl w:ilvl="0" w:tplc="040E0001">
      <w:start w:val="1"/>
      <w:numFmt w:val="bullet"/>
      <w:lvlText w:val="o"/>
      <w:lvlJc w:val="left"/>
      <w:pPr>
        <w:ind w:left="1080" w:hanging="360"/>
      </w:pPr>
      <w:rPr>
        <w:rFonts w:ascii="Courier New" w:hAnsi="Courier New" w:cs="Courier New"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0" w15:restartNumberingAfterBreak="0">
    <w:nsid w:val="69E82A73"/>
    <w:multiLevelType w:val="hybridMultilevel"/>
    <w:tmpl w:val="7A0A48BA"/>
    <w:lvl w:ilvl="0" w:tplc="040E0003">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E3F36D5"/>
    <w:multiLevelType w:val="hybridMultilevel"/>
    <w:tmpl w:val="F69207D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1BA3CD1"/>
    <w:multiLevelType w:val="hybridMultilevel"/>
    <w:tmpl w:val="A60CAD6A"/>
    <w:lvl w:ilvl="0" w:tplc="040E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72E508CC"/>
    <w:multiLevelType w:val="hybridMultilevel"/>
    <w:tmpl w:val="6ED43D1C"/>
    <w:lvl w:ilvl="0" w:tplc="040E000F">
      <w:start w:val="1"/>
      <w:numFmt w:val="bullet"/>
      <w:lvlText w:val=""/>
      <w:lvlJc w:val="left"/>
      <w:pPr>
        <w:tabs>
          <w:tab w:val="num" w:pos="785"/>
        </w:tabs>
        <w:ind w:left="785" w:hanging="360"/>
      </w:pPr>
      <w:rPr>
        <w:rFonts w:ascii="Symbol" w:hAnsi="Symbol" w:hint="default"/>
      </w:rPr>
    </w:lvl>
    <w:lvl w:ilvl="1" w:tplc="040E0019" w:tentative="1">
      <w:start w:val="1"/>
      <w:numFmt w:val="bullet"/>
      <w:lvlText w:val="o"/>
      <w:lvlJc w:val="left"/>
      <w:pPr>
        <w:tabs>
          <w:tab w:val="num" w:pos="1505"/>
        </w:tabs>
        <w:ind w:left="1505" w:hanging="360"/>
      </w:pPr>
      <w:rPr>
        <w:rFonts w:ascii="Courier New" w:hAnsi="Courier New" w:cs="Courier New" w:hint="default"/>
      </w:rPr>
    </w:lvl>
    <w:lvl w:ilvl="2" w:tplc="040E001B" w:tentative="1">
      <w:start w:val="1"/>
      <w:numFmt w:val="bullet"/>
      <w:lvlText w:val=""/>
      <w:lvlJc w:val="left"/>
      <w:pPr>
        <w:tabs>
          <w:tab w:val="num" w:pos="2225"/>
        </w:tabs>
        <w:ind w:left="2225" w:hanging="360"/>
      </w:pPr>
      <w:rPr>
        <w:rFonts w:ascii="Wingdings" w:hAnsi="Wingdings" w:hint="default"/>
      </w:rPr>
    </w:lvl>
    <w:lvl w:ilvl="3" w:tplc="040E000F" w:tentative="1">
      <w:start w:val="1"/>
      <w:numFmt w:val="bullet"/>
      <w:lvlText w:val=""/>
      <w:lvlJc w:val="left"/>
      <w:pPr>
        <w:tabs>
          <w:tab w:val="num" w:pos="2945"/>
        </w:tabs>
        <w:ind w:left="2945" w:hanging="360"/>
      </w:pPr>
      <w:rPr>
        <w:rFonts w:ascii="Symbol" w:hAnsi="Symbol" w:hint="default"/>
      </w:rPr>
    </w:lvl>
    <w:lvl w:ilvl="4" w:tplc="040E0019" w:tentative="1">
      <w:start w:val="1"/>
      <w:numFmt w:val="bullet"/>
      <w:lvlText w:val="o"/>
      <w:lvlJc w:val="left"/>
      <w:pPr>
        <w:tabs>
          <w:tab w:val="num" w:pos="3665"/>
        </w:tabs>
        <w:ind w:left="3665" w:hanging="360"/>
      </w:pPr>
      <w:rPr>
        <w:rFonts w:ascii="Courier New" w:hAnsi="Courier New" w:cs="Courier New" w:hint="default"/>
      </w:rPr>
    </w:lvl>
    <w:lvl w:ilvl="5" w:tplc="040E001B" w:tentative="1">
      <w:start w:val="1"/>
      <w:numFmt w:val="bullet"/>
      <w:lvlText w:val=""/>
      <w:lvlJc w:val="left"/>
      <w:pPr>
        <w:tabs>
          <w:tab w:val="num" w:pos="4385"/>
        </w:tabs>
        <w:ind w:left="4385" w:hanging="360"/>
      </w:pPr>
      <w:rPr>
        <w:rFonts w:ascii="Wingdings" w:hAnsi="Wingdings" w:hint="default"/>
      </w:rPr>
    </w:lvl>
    <w:lvl w:ilvl="6" w:tplc="040E000F" w:tentative="1">
      <w:start w:val="1"/>
      <w:numFmt w:val="bullet"/>
      <w:lvlText w:val=""/>
      <w:lvlJc w:val="left"/>
      <w:pPr>
        <w:tabs>
          <w:tab w:val="num" w:pos="5105"/>
        </w:tabs>
        <w:ind w:left="5105" w:hanging="360"/>
      </w:pPr>
      <w:rPr>
        <w:rFonts w:ascii="Symbol" w:hAnsi="Symbol" w:hint="default"/>
      </w:rPr>
    </w:lvl>
    <w:lvl w:ilvl="7" w:tplc="040E0019" w:tentative="1">
      <w:start w:val="1"/>
      <w:numFmt w:val="bullet"/>
      <w:lvlText w:val="o"/>
      <w:lvlJc w:val="left"/>
      <w:pPr>
        <w:tabs>
          <w:tab w:val="num" w:pos="5825"/>
        </w:tabs>
        <w:ind w:left="5825" w:hanging="360"/>
      </w:pPr>
      <w:rPr>
        <w:rFonts w:ascii="Courier New" w:hAnsi="Courier New" w:cs="Courier New" w:hint="default"/>
      </w:rPr>
    </w:lvl>
    <w:lvl w:ilvl="8" w:tplc="040E001B" w:tentative="1">
      <w:start w:val="1"/>
      <w:numFmt w:val="bullet"/>
      <w:lvlText w:val=""/>
      <w:lvlJc w:val="left"/>
      <w:pPr>
        <w:tabs>
          <w:tab w:val="num" w:pos="6545"/>
        </w:tabs>
        <w:ind w:left="6545" w:hanging="360"/>
      </w:pPr>
      <w:rPr>
        <w:rFonts w:ascii="Wingdings" w:hAnsi="Wingdings" w:hint="default"/>
      </w:rPr>
    </w:lvl>
  </w:abstractNum>
  <w:abstractNum w:abstractNumId="114" w15:restartNumberingAfterBreak="0">
    <w:nsid w:val="73682C82"/>
    <w:multiLevelType w:val="hybridMultilevel"/>
    <w:tmpl w:val="5468757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377625E"/>
    <w:multiLevelType w:val="hybridMultilevel"/>
    <w:tmpl w:val="FF1444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6" w15:restartNumberingAfterBreak="0">
    <w:nsid w:val="76AC7383"/>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76ED3C54"/>
    <w:multiLevelType w:val="hybridMultilevel"/>
    <w:tmpl w:val="4FBC68CA"/>
    <w:lvl w:ilvl="0" w:tplc="040E0001">
      <w:start w:val="1"/>
      <w:numFmt w:val="bullet"/>
      <w:lvlText w:val=""/>
      <w:lvlJc w:val="left"/>
      <w:pPr>
        <w:tabs>
          <w:tab w:val="num" w:pos="644"/>
        </w:tabs>
        <w:ind w:left="644" w:hanging="360"/>
      </w:pPr>
      <w:rPr>
        <w:rFonts w:ascii="Symbol" w:hAnsi="Symbol" w:hint="default"/>
      </w:rPr>
    </w:lvl>
    <w:lvl w:ilvl="1" w:tplc="040E0003">
      <w:start w:val="1"/>
      <w:numFmt w:val="bullet"/>
      <w:lvlText w:val="o"/>
      <w:lvlJc w:val="left"/>
      <w:pPr>
        <w:tabs>
          <w:tab w:val="num" w:pos="1364"/>
        </w:tabs>
        <w:ind w:left="1364" w:hanging="360"/>
      </w:pPr>
      <w:rPr>
        <w:rFonts w:ascii="Courier New" w:hAnsi="Courier New" w:cs="Courier New" w:hint="default"/>
      </w:rPr>
    </w:lvl>
    <w:lvl w:ilvl="2" w:tplc="040E0005">
      <w:start w:val="1"/>
      <w:numFmt w:val="bullet"/>
      <w:lvlText w:val=""/>
      <w:lvlJc w:val="left"/>
      <w:pPr>
        <w:tabs>
          <w:tab w:val="num" w:pos="2084"/>
        </w:tabs>
        <w:ind w:left="2084" w:hanging="360"/>
      </w:pPr>
      <w:rPr>
        <w:rFonts w:ascii="Wingdings" w:hAnsi="Wingdings" w:hint="default"/>
      </w:rPr>
    </w:lvl>
    <w:lvl w:ilvl="3" w:tplc="040E0001" w:tentative="1">
      <w:start w:val="1"/>
      <w:numFmt w:val="bullet"/>
      <w:lvlText w:val=""/>
      <w:lvlJc w:val="left"/>
      <w:pPr>
        <w:tabs>
          <w:tab w:val="num" w:pos="2804"/>
        </w:tabs>
        <w:ind w:left="2804" w:hanging="360"/>
      </w:pPr>
      <w:rPr>
        <w:rFonts w:ascii="Symbol" w:hAnsi="Symbol" w:hint="default"/>
      </w:rPr>
    </w:lvl>
    <w:lvl w:ilvl="4" w:tplc="040E0003" w:tentative="1">
      <w:start w:val="1"/>
      <w:numFmt w:val="bullet"/>
      <w:lvlText w:val="o"/>
      <w:lvlJc w:val="left"/>
      <w:pPr>
        <w:tabs>
          <w:tab w:val="num" w:pos="3524"/>
        </w:tabs>
        <w:ind w:left="3524" w:hanging="360"/>
      </w:pPr>
      <w:rPr>
        <w:rFonts w:ascii="Courier New" w:hAnsi="Courier New" w:cs="Courier New" w:hint="default"/>
      </w:rPr>
    </w:lvl>
    <w:lvl w:ilvl="5" w:tplc="040E0005" w:tentative="1">
      <w:start w:val="1"/>
      <w:numFmt w:val="bullet"/>
      <w:lvlText w:val=""/>
      <w:lvlJc w:val="left"/>
      <w:pPr>
        <w:tabs>
          <w:tab w:val="num" w:pos="4244"/>
        </w:tabs>
        <w:ind w:left="4244" w:hanging="360"/>
      </w:pPr>
      <w:rPr>
        <w:rFonts w:ascii="Wingdings" w:hAnsi="Wingdings" w:hint="default"/>
      </w:rPr>
    </w:lvl>
    <w:lvl w:ilvl="6" w:tplc="040E0001" w:tentative="1">
      <w:start w:val="1"/>
      <w:numFmt w:val="bullet"/>
      <w:lvlText w:val=""/>
      <w:lvlJc w:val="left"/>
      <w:pPr>
        <w:tabs>
          <w:tab w:val="num" w:pos="4964"/>
        </w:tabs>
        <w:ind w:left="4964" w:hanging="360"/>
      </w:pPr>
      <w:rPr>
        <w:rFonts w:ascii="Symbol" w:hAnsi="Symbol" w:hint="default"/>
      </w:rPr>
    </w:lvl>
    <w:lvl w:ilvl="7" w:tplc="040E0003" w:tentative="1">
      <w:start w:val="1"/>
      <w:numFmt w:val="bullet"/>
      <w:lvlText w:val="o"/>
      <w:lvlJc w:val="left"/>
      <w:pPr>
        <w:tabs>
          <w:tab w:val="num" w:pos="5684"/>
        </w:tabs>
        <w:ind w:left="5684" w:hanging="360"/>
      </w:pPr>
      <w:rPr>
        <w:rFonts w:ascii="Courier New" w:hAnsi="Courier New" w:cs="Courier New" w:hint="default"/>
      </w:rPr>
    </w:lvl>
    <w:lvl w:ilvl="8" w:tplc="040E0005" w:tentative="1">
      <w:start w:val="1"/>
      <w:numFmt w:val="bullet"/>
      <w:lvlText w:val=""/>
      <w:lvlJc w:val="left"/>
      <w:pPr>
        <w:tabs>
          <w:tab w:val="num" w:pos="6404"/>
        </w:tabs>
        <w:ind w:left="6404" w:hanging="360"/>
      </w:pPr>
      <w:rPr>
        <w:rFonts w:ascii="Wingdings" w:hAnsi="Wingdings" w:hint="default"/>
      </w:rPr>
    </w:lvl>
  </w:abstractNum>
  <w:abstractNum w:abstractNumId="118" w15:restartNumberingAfterBreak="0">
    <w:nsid w:val="770E38A0"/>
    <w:multiLevelType w:val="singleLevel"/>
    <w:tmpl w:val="01D228EE"/>
    <w:lvl w:ilvl="0">
      <w:start w:val="1"/>
      <w:numFmt w:val="decimal"/>
      <w:lvlText w:val="%1."/>
      <w:lvlJc w:val="left"/>
      <w:pPr>
        <w:tabs>
          <w:tab w:val="num" w:pos="360"/>
        </w:tabs>
        <w:ind w:left="360" w:hanging="360"/>
      </w:pPr>
    </w:lvl>
  </w:abstractNum>
  <w:abstractNum w:abstractNumId="119" w15:restartNumberingAfterBreak="0">
    <w:nsid w:val="77304781"/>
    <w:multiLevelType w:val="hybridMultilevel"/>
    <w:tmpl w:val="B2141A9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8E24578"/>
    <w:multiLevelType w:val="hybridMultilevel"/>
    <w:tmpl w:val="4C3C2BF8"/>
    <w:lvl w:ilvl="0" w:tplc="5104730E">
      <w:start w:val="1"/>
      <w:numFmt w:val="bullet"/>
      <w:lvlText w:val=""/>
      <w:lvlJc w:val="left"/>
      <w:pPr>
        <w:tabs>
          <w:tab w:val="num" w:pos="720"/>
        </w:tabs>
        <w:ind w:left="720" w:hanging="360"/>
      </w:pPr>
      <w:rPr>
        <w:rFonts w:ascii="Symbol" w:hAnsi="Symbol" w:hint="default"/>
      </w:rPr>
    </w:lvl>
    <w:lvl w:ilvl="1" w:tplc="77649DFA" w:tentative="1">
      <w:start w:val="1"/>
      <w:numFmt w:val="bullet"/>
      <w:lvlText w:val="o"/>
      <w:lvlJc w:val="left"/>
      <w:pPr>
        <w:tabs>
          <w:tab w:val="num" w:pos="1440"/>
        </w:tabs>
        <w:ind w:left="1440" w:hanging="360"/>
      </w:pPr>
      <w:rPr>
        <w:rFonts w:ascii="Courier New" w:hAnsi="Courier New" w:cs="Courier New" w:hint="default"/>
      </w:rPr>
    </w:lvl>
    <w:lvl w:ilvl="2" w:tplc="076405F2" w:tentative="1">
      <w:start w:val="1"/>
      <w:numFmt w:val="bullet"/>
      <w:lvlText w:val=""/>
      <w:lvlJc w:val="left"/>
      <w:pPr>
        <w:tabs>
          <w:tab w:val="num" w:pos="2160"/>
        </w:tabs>
        <w:ind w:left="2160" w:hanging="360"/>
      </w:pPr>
      <w:rPr>
        <w:rFonts w:ascii="Wingdings" w:hAnsi="Wingdings" w:hint="default"/>
      </w:rPr>
    </w:lvl>
    <w:lvl w:ilvl="3" w:tplc="6BCE1570" w:tentative="1">
      <w:start w:val="1"/>
      <w:numFmt w:val="bullet"/>
      <w:lvlText w:val=""/>
      <w:lvlJc w:val="left"/>
      <w:pPr>
        <w:tabs>
          <w:tab w:val="num" w:pos="2880"/>
        </w:tabs>
        <w:ind w:left="2880" w:hanging="360"/>
      </w:pPr>
      <w:rPr>
        <w:rFonts w:ascii="Symbol" w:hAnsi="Symbol" w:hint="default"/>
      </w:rPr>
    </w:lvl>
    <w:lvl w:ilvl="4" w:tplc="D7EE64CE" w:tentative="1">
      <w:start w:val="1"/>
      <w:numFmt w:val="bullet"/>
      <w:lvlText w:val="o"/>
      <w:lvlJc w:val="left"/>
      <w:pPr>
        <w:tabs>
          <w:tab w:val="num" w:pos="3600"/>
        </w:tabs>
        <w:ind w:left="3600" w:hanging="360"/>
      </w:pPr>
      <w:rPr>
        <w:rFonts w:ascii="Courier New" w:hAnsi="Courier New" w:cs="Courier New" w:hint="default"/>
      </w:rPr>
    </w:lvl>
    <w:lvl w:ilvl="5" w:tplc="8EC2186E" w:tentative="1">
      <w:start w:val="1"/>
      <w:numFmt w:val="bullet"/>
      <w:lvlText w:val=""/>
      <w:lvlJc w:val="left"/>
      <w:pPr>
        <w:tabs>
          <w:tab w:val="num" w:pos="4320"/>
        </w:tabs>
        <w:ind w:left="4320" w:hanging="360"/>
      </w:pPr>
      <w:rPr>
        <w:rFonts w:ascii="Wingdings" w:hAnsi="Wingdings" w:hint="default"/>
      </w:rPr>
    </w:lvl>
    <w:lvl w:ilvl="6" w:tplc="A4FCD3FE" w:tentative="1">
      <w:start w:val="1"/>
      <w:numFmt w:val="bullet"/>
      <w:lvlText w:val=""/>
      <w:lvlJc w:val="left"/>
      <w:pPr>
        <w:tabs>
          <w:tab w:val="num" w:pos="5040"/>
        </w:tabs>
        <w:ind w:left="5040" w:hanging="360"/>
      </w:pPr>
      <w:rPr>
        <w:rFonts w:ascii="Symbol" w:hAnsi="Symbol" w:hint="default"/>
      </w:rPr>
    </w:lvl>
    <w:lvl w:ilvl="7" w:tplc="52EC9E66" w:tentative="1">
      <w:start w:val="1"/>
      <w:numFmt w:val="bullet"/>
      <w:lvlText w:val="o"/>
      <w:lvlJc w:val="left"/>
      <w:pPr>
        <w:tabs>
          <w:tab w:val="num" w:pos="5760"/>
        </w:tabs>
        <w:ind w:left="5760" w:hanging="360"/>
      </w:pPr>
      <w:rPr>
        <w:rFonts w:ascii="Courier New" w:hAnsi="Courier New" w:cs="Courier New" w:hint="default"/>
      </w:rPr>
    </w:lvl>
    <w:lvl w:ilvl="8" w:tplc="3F2AB7CE"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8F528E2"/>
    <w:multiLevelType w:val="hybridMultilevel"/>
    <w:tmpl w:val="2C8EBD2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96B5F92"/>
    <w:multiLevelType w:val="hybridMultilevel"/>
    <w:tmpl w:val="8C507168"/>
    <w:lvl w:ilvl="0" w:tplc="040E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cs="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79FA4ACA"/>
    <w:multiLevelType w:val="hybridMultilevel"/>
    <w:tmpl w:val="F440F5D4"/>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B715E3A"/>
    <w:multiLevelType w:val="hybridMultilevel"/>
    <w:tmpl w:val="1FF8F29E"/>
    <w:lvl w:ilvl="0" w:tplc="52448484">
      <w:start w:val="1"/>
      <w:numFmt w:val="lowerLetter"/>
      <w:lvlText w:val="%1)"/>
      <w:lvlJc w:val="left"/>
      <w:pPr>
        <w:ind w:left="720" w:hanging="360"/>
      </w:p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125" w15:restartNumberingAfterBreak="0">
    <w:nsid w:val="7C575D00"/>
    <w:multiLevelType w:val="hybridMultilevel"/>
    <w:tmpl w:val="3384E0F2"/>
    <w:lvl w:ilvl="0" w:tplc="040E0017">
      <w:start w:val="1"/>
      <w:numFmt w:val="bullet"/>
      <w:lvlText w:val=""/>
      <w:lvlJc w:val="left"/>
      <w:pPr>
        <w:tabs>
          <w:tab w:val="num" w:pos="720"/>
        </w:tabs>
        <w:ind w:left="720" w:hanging="360"/>
      </w:pPr>
      <w:rPr>
        <w:rFonts w:ascii="Symbol" w:hAnsi="Symbol" w:hint="default"/>
      </w:rPr>
    </w:lvl>
    <w:lvl w:ilvl="1" w:tplc="040E0019" w:tentative="1">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C7F594A"/>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7F401833"/>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7F5A6D34"/>
    <w:multiLevelType w:val="multilevel"/>
    <w:tmpl w:val="25BC28F6"/>
    <w:lvl w:ilvl="0">
      <w:start w:val="1"/>
      <w:numFmt w:val="decimal"/>
      <w:lvlText w:val="%1."/>
      <w:lvlJc w:val="left"/>
      <w:pPr>
        <w:tabs>
          <w:tab w:val="num" w:pos="862"/>
        </w:tabs>
        <w:ind w:left="502"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160"/>
        </w:tabs>
        <w:ind w:left="86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num w:numId="1">
    <w:abstractNumId w:val="12"/>
  </w:num>
  <w:num w:numId="2">
    <w:abstractNumId w:val="98"/>
  </w:num>
  <w:num w:numId="3">
    <w:abstractNumId w:val="105"/>
  </w:num>
  <w:num w:numId="4">
    <w:abstractNumId w:val="37"/>
  </w:num>
  <w:num w:numId="5">
    <w:abstractNumId w:val="84"/>
  </w:num>
  <w:num w:numId="6">
    <w:abstractNumId w:val="5"/>
  </w:num>
  <w:num w:numId="7">
    <w:abstractNumId w:val="91"/>
  </w:num>
  <w:num w:numId="8">
    <w:abstractNumId w:val="73"/>
  </w:num>
  <w:num w:numId="9">
    <w:abstractNumId w:val="82"/>
  </w:num>
  <w:num w:numId="10">
    <w:abstractNumId w:val="40"/>
  </w:num>
  <w:num w:numId="11">
    <w:abstractNumId w:val="74"/>
  </w:num>
  <w:num w:numId="12">
    <w:abstractNumId w:val="104"/>
  </w:num>
  <w:num w:numId="13">
    <w:abstractNumId w:val="78"/>
  </w:num>
  <w:num w:numId="14">
    <w:abstractNumId w:val="85"/>
  </w:num>
  <w:num w:numId="15">
    <w:abstractNumId w:val="22"/>
  </w:num>
  <w:num w:numId="16">
    <w:abstractNumId w:val="117"/>
  </w:num>
  <w:num w:numId="17">
    <w:abstractNumId w:val="75"/>
  </w:num>
  <w:num w:numId="18">
    <w:abstractNumId w:val="119"/>
  </w:num>
  <w:num w:numId="19">
    <w:abstractNumId w:val="121"/>
  </w:num>
  <w:num w:numId="20">
    <w:abstractNumId w:val="29"/>
  </w:num>
  <w:num w:numId="21">
    <w:abstractNumId w:val="20"/>
  </w:num>
  <w:num w:numId="22">
    <w:abstractNumId w:val="27"/>
  </w:num>
  <w:num w:numId="23">
    <w:abstractNumId w:val="14"/>
  </w:num>
  <w:num w:numId="24">
    <w:abstractNumId w:val="49"/>
  </w:num>
  <w:num w:numId="25">
    <w:abstractNumId w:val="64"/>
  </w:num>
  <w:num w:numId="26">
    <w:abstractNumId w:val="17"/>
  </w:num>
  <w:num w:numId="27">
    <w:abstractNumId w:val="24"/>
  </w:num>
  <w:num w:numId="28">
    <w:abstractNumId w:val="110"/>
  </w:num>
  <w:num w:numId="29">
    <w:abstractNumId w:val="36"/>
  </w:num>
  <w:num w:numId="30">
    <w:abstractNumId w:val="16"/>
  </w:num>
  <w:num w:numId="31">
    <w:abstractNumId w:val="111"/>
  </w:num>
  <w:num w:numId="32">
    <w:abstractNumId w:val="32"/>
  </w:num>
  <w:num w:numId="33">
    <w:abstractNumId w:val="108"/>
  </w:num>
  <w:num w:numId="34">
    <w:abstractNumId w:val="120"/>
  </w:num>
  <w:num w:numId="35">
    <w:abstractNumId w:val="63"/>
  </w:num>
  <w:num w:numId="36">
    <w:abstractNumId w:val="103"/>
  </w:num>
  <w:num w:numId="37">
    <w:abstractNumId w:val="62"/>
  </w:num>
  <w:num w:numId="38">
    <w:abstractNumId w:val="124"/>
  </w:num>
  <w:num w:numId="39">
    <w:abstractNumId w:val="48"/>
  </w:num>
  <w:num w:numId="40">
    <w:abstractNumId w:val="107"/>
  </w:num>
  <w:num w:numId="41">
    <w:abstractNumId w:val="92"/>
  </w:num>
  <w:num w:numId="42">
    <w:abstractNumId w:val="43"/>
  </w:num>
  <w:num w:numId="43">
    <w:abstractNumId w:val="69"/>
  </w:num>
  <w:num w:numId="44">
    <w:abstractNumId w:val="97"/>
  </w:num>
  <w:num w:numId="45">
    <w:abstractNumId w:val="128"/>
  </w:num>
  <w:num w:numId="46">
    <w:abstractNumId w:val="23"/>
  </w:num>
  <w:num w:numId="47">
    <w:abstractNumId w:val="66"/>
  </w:num>
  <w:num w:numId="48">
    <w:abstractNumId w:val="8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1"/>
  </w:num>
  <w:num w:numId="50">
    <w:abstractNumId w:val="25"/>
  </w:num>
  <w:num w:numId="51">
    <w:abstractNumId w:val="38"/>
  </w:num>
  <w:num w:numId="52">
    <w:abstractNumId w:val="52"/>
  </w:num>
  <w:num w:numId="53">
    <w:abstractNumId w:val="59"/>
  </w:num>
  <w:num w:numId="54">
    <w:abstractNumId w:val="15"/>
  </w:num>
  <w:num w:numId="55">
    <w:abstractNumId w:val="126"/>
  </w:num>
  <w:num w:numId="56">
    <w:abstractNumId w:val="81"/>
  </w:num>
  <w:num w:numId="57">
    <w:abstractNumId w:val="33"/>
  </w:num>
  <w:num w:numId="58">
    <w:abstractNumId w:val="61"/>
  </w:num>
  <w:num w:numId="59">
    <w:abstractNumId w:val="70"/>
  </w:num>
  <w:num w:numId="60">
    <w:abstractNumId w:val="79"/>
  </w:num>
  <w:num w:numId="61">
    <w:abstractNumId w:val="93"/>
  </w:num>
  <w:num w:numId="62">
    <w:abstractNumId w:val="47"/>
  </w:num>
  <w:num w:numId="63">
    <w:abstractNumId w:val="102"/>
  </w:num>
  <w:num w:numId="64">
    <w:abstractNumId w:val="50"/>
  </w:num>
  <w:num w:numId="65">
    <w:abstractNumId w:val="127"/>
  </w:num>
  <w:num w:numId="66">
    <w:abstractNumId w:val="57"/>
  </w:num>
  <w:num w:numId="67">
    <w:abstractNumId w:val="34"/>
  </w:num>
  <w:num w:numId="68">
    <w:abstractNumId w:val="116"/>
  </w:num>
  <w:num w:numId="69">
    <w:abstractNumId w:val="87"/>
  </w:num>
  <w:num w:numId="70">
    <w:abstractNumId w:val="44"/>
  </w:num>
  <w:num w:numId="71">
    <w:abstractNumId w:val="106"/>
  </w:num>
  <w:num w:numId="72">
    <w:abstractNumId w:val="13"/>
  </w:num>
  <w:num w:numId="73">
    <w:abstractNumId w:val="30"/>
  </w:num>
  <w:num w:numId="74">
    <w:abstractNumId w:val="54"/>
  </w:num>
  <w:num w:numId="75">
    <w:abstractNumId w:val="88"/>
  </w:num>
  <w:num w:numId="76">
    <w:abstractNumId w:val="51"/>
  </w:num>
  <w:num w:numId="77">
    <w:abstractNumId w:val="9"/>
  </w:num>
  <w:num w:numId="78">
    <w:abstractNumId w:val="53"/>
  </w:num>
  <w:num w:numId="79">
    <w:abstractNumId w:val="2"/>
  </w:num>
  <w:num w:numId="80">
    <w:abstractNumId w:val="1"/>
  </w:num>
  <w:num w:numId="81">
    <w:abstractNumId w:val="18"/>
  </w:num>
  <w:num w:numId="82">
    <w:abstractNumId w:val="26"/>
  </w:num>
  <w:num w:numId="83">
    <w:abstractNumId w:val="35"/>
  </w:num>
  <w:num w:numId="84">
    <w:abstractNumId w:val="58"/>
  </w:num>
  <w:num w:numId="85">
    <w:abstractNumId w:val="112"/>
  </w:num>
  <w:num w:numId="86">
    <w:abstractNumId w:val="71"/>
  </w:num>
  <w:num w:numId="87">
    <w:abstractNumId w:val="118"/>
    <w:lvlOverride w:ilvl="0">
      <w:lvl w:ilvl="0">
        <w:start w:val="1"/>
        <w:numFmt w:val="decimal"/>
        <w:lvlText w:val="%1."/>
        <w:legacy w:legacy="1" w:legacySpace="0" w:legacyIndent="360"/>
        <w:lvlJc w:val="left"/>
        <w:pPr>
          <w:ind w:left="360" w:hanging="360"/>
        </w:pPr>
      </w:lvl>
    </w:lvlOverride>
  </w:num>
  <w:num w:numId="88">
    <w:abstractNumId w:val="55"/>
  </w:num>
  <w:num w:numId="89">
    <w:abstractNumId w:val="56"/>
  </w:num>
  <w:num w:numId="90">
    <w:abstractNumId w:val="39"/>
  </w:num>
  <w:num w:numId="91">
    <w:abstractNumId w:val="83"/>
  </w:num>
  <w:num w:numId="92">
    <w:abstractNumId w:val="60"/>
  </w:num>
  <w:num w:numId="93">
    <w:abstractNumId w:val="109"/>
  </w:num>
  <w:num w:numId="94">
    <w:abstractNumId w:val="10"/>
  </w:num>
  <w:num w:numId="95">
    <w:abstractNumId w:val="8"/>
  </w:num>
  <w:num w:numId="96">
    <w:abstractNumId w:val="45"/>
  </w:num>
  <w:num w:numId="97">
    <w:abstractNumId w:val="21"/>
  </w:num>
  <w:num w:numId="98">
    <w:abstractNumId w:val="41"/>
  </w:num>
  <w:num w:numId="99">
    <w:abstractNumId w:val="122"/>
  </w:num>
  <w:num w:numId="100">
    <w:abstractNumId w:val="123"/>
  </w:num>
  <w:num w:numId="101">
    <w:abstractNumId w:val="42"/>
  </w:num>
  <w:num w:numId="102">
    <w:abstractNumId w:val="96"/>
  </w:num>
  <w:num w:numId="103">
    <w:abstractNumId w:val="67"/>
  </w:num>
  <w:num w:numId="104">
    <w:abstractNumId w:val="113"/>
  </w:num>
  <w:num w:numId="105">
    <w:abstractNumId w:val="95"/>
  </w:num>
  <w:num w:numId="106">
    <w:abstractNumId w:val="114"/>
  </w:num>
  <w:num w:numId="107">
    <w:abstractNumId w:val="100"/>
  </w:num>
  <w:num w:numId="108">
    <w:abstractNumId w:val="72"/>
  </w:num>
  <w:num w:numId="109">
    <w:abstractNumId w:val="28"/>
  </w:num>
  <w:num w:numId="110">
    <w:abstractNumId w:val="125"/>
  </w:num>
  <w:num w:numId="111">
    <w:abstractNumId w:val="77"/>
  </w:num>
  <w:num w:numId="112">
    <w:abstractNumId w:val="80"/>
  </w:num>
  <w:num w:numId="113">
    <w:abstractNumId w:val="65"/>
  </w:num>
  <w:num w:numId="11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9"/>
  </w:num>
  <w:num w:numId="117">
    <w:abstractNumId w:val="115"/>
  </w:num>
  <w:num w:numId="118">
    <w:abstractNumId w:val="94"/>
  </w:num>
  <w:num w:numId="119">
    <w:abstractNumId w:val="90"/>
  </w:num>
  <w:num w:numId="120">
    <w:abstractNumId w:val="14"/>
  </w:num>
  <w:num w:numId="121">
    <w:abstractNumId w:val="14"/>
  </w:num>
  <w:num w:numId="122">
    <w:abstractNumId w:val="14"/>
  </w:num>
  <w:num w:numId="123">
    <w:abstractNumId w:val="14"/>
  </w:num>
  <w:num w:numId="124">
    <w:abstractNumId w:val="14"/>
  </w:num>
  <w:num w:numId="125">
    <w:abstractNumId w:val="14"/>
  </w:num>
  <w:num w:numId="126">
    <w:abstractNumId w:val="14"/>
  </w:num>
  <w:num w:numId="127">
    <w:abstractNumId w:val="14"/>
  </w:num>
  <w:num w:numId="128">
    <w:abstractNumId w:val="14"/>
  </w:num>
  <w:num w:numId="129">
    <w:abstractNumId w:val="14"/>
  </w:num>
  <w:num w:numId="130">
    <w:abstractNumId w:val="14"/>
  </w:num>
  <w:num w:numId="131">
    <w:abstractNumId w:val="14"/>
  </w:num>
  <w:num w:numId="132">
    <w:abstractNumId w:val="14"/>
  </w:num>
  <w:num w:numId="133">
    <w:abstractNumId w:val="14"/>
  </w:num>
  <w:num w:numId="134">
    <w:abstractNumId w:val="14"/>
  </w:num>
  <w:num w:numId="135">
    <w:abstractNumId w:val="14"/>
  </w:num>
  <w:num w:numId="136">
    <w:abstractNumId w:val="14"/>
  </w:num>
  <w:num w:numId="137">
    <w:abstractNumId w:val="19"/>
  </w:num>
  <w:num w:numId="138">
    <w:abstractNumId w:val="105"/>
  </w:num>
  <w:num w:numId="139">
    <w:abstractNumId w:val="68"/>
  </w:num>
  <w:num w:numId="140">
    <w:abstractNumId w:val="7"/>
  </w:num>
  <w:num w:numId="141">
    <w:abstractNumId w:val="7"/>
  </w:num>
  <w:num w:numId="142">
    <w:abstractNumId w:val="7"/>
  </w:num>
  <w:num w:numId="143">
    <w:abstractNumId w:val="76"/>
  </w:num>
  <w:num w:numId="144">
    <w:abstractNumId w:val="46"/>
  </w:num>
  <w:num w:numId="145">
    <w:abstractNumId w:val="105"/>
  </w:num>
  <w:num w:numId="146">
    <w:abstractNumId w:val="105"/>
  </w:num>
  <w:num w:numId="147">
    <w:abstractNumId w:val="105"/>
  </w:num>
  <w:num w:numId="148">
    <w:abstractNumId w:val="105"/>
  </w:num>
  <w:num w:numId="149">
    <w:abstractNumId w:val="105"/>
  </w:num>
  <w:num w:numId="150">
    <w:abstractNumId w:val="105"/>
  </w:num>
  <w:num w:numId="151">
    <w:abstractNumId w:val="31"/>
  </w:num>
  <w:num w:numId="152">
    <w:abstractNumId w:val="4"/>
  </w:num>
  <w:num w:numId="153">
    <w:abstractNumId w:val="74"/>
  </w:num>
  <w:num w:numId="154">
    <w:abstractNumId w:val="8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2"/>
  </w:num>
  <w:num w:numId="156">
    <w:abstractNumId w:val="53"/>
  </w:num>
  <w:num w:numId="157">
    <w:abstractNumId w:val="3"/>
  </w:num>
  <w:num w:numId="158">
    <w:abstractNumId w:val="31"/>
  </w:num>
  <w:num w:numId="159">
    <w:abstractNumId w:val="0"/>
  </w:num>
  <w:num w:numId="160">
    <w:abstractNumId w:val="31"/>
  </w:num>
  <w:num w:numId="161">
    <w:abstractNumId w:val="12"/>
  </w:num>
  <w:num w:numId="162">
    <w:abstractNumId w:val="6"/>
  </w:num>
  <w:num w:numId="163">
    <w:abstractNumId w:val="86"/>
  </w:num>
  <w:num w:numId="164">
    <w:abstractNumId w:val="9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revisionView w:inkAnnotation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37F"/>
    <w:rsid w:val="00005D01"/>
    <w:rsid w:val="00013A45"/>
    <w:rsid w:val="00015130"/>
    <w:rsid w:val="000151E2"/>
    <w:rsid w:val="00020974"/>
    <w:rsid w:val="00022EBF"/>
    <w:rsid w:val="00023829"/>
    <w:rsid w:val="0002577B"/>
    <w:rsid w:val="0003199D"/>
    <w:rsid w:val="0003218A"/>
    <w:rsid w:val="000439C3"/>
    <w:rsid w:val="000455F3"/>
    <w:rsid w:val="0005174F"/>
    <w:rsid w:val="00056C82"/>
    <w:rsid w:val="00061B21"/>
    <w:rsid w:val="00066DB4"/>
    <w:rsid w:val="00067D03"/>
    <w:rsid w:val="00073183"/>
    <w:rsid w:val="0007727A"/>
    <w:rsid w:val="00077AE8"/>
    <w:rsid w:val="000836F3"/>
    <w:rsid w:val="00090467"/>
    <w:rsid w:val="0009425F"/>
    <w:rsid w:val="00096539"/>
    <w:rsid w:val="000A24B7"/>
    <w:rsid w:val="000A2A44"/>
    <w:rsid w:val="000B40BC"/>
    <w:rsid w:val="000B5B2E"/>
    <w:rsid w:val="000C012D"/>
    <w:rsid w:val="000C12AC"/>
    <w:rsid w:val="000C5765"/>
    <w:rsid w:val="000D3467"/>
    <w:rsid w:val="000E5776"/>
    <w:rsid w:val="000E6C46"/>
    <w:rsid w:val="000E7300"/>
    <w:rsid w:val="000F1D7D"/>
    <w:rsid w:val="000F4604"/>
    <w:rsid w:val="000F473F"/>
    <w:rsid w:val="000F5304"/>
    <w:rsid w:val="000F5551"/>
    <w:rsid w:val="000F5E43"/>
    <w:rsid w:val="000F60CA"/>
    <w:rsid w:val="000F7446"/>
    <w:rsid w:val="0010380A"/>
    <w:rsid w:val="00105309"/>
    <w:rsid w:val="00106372"/>
    <w:rsid w:val="0011744D"/>
    <w:rsid w:val="00124071"/>
    <w:rsid w:val="001378AE"/>
    <w:rsid w:val="0014120A"/>
    <w:rsid w:val="00141481"/>
    <w:rsid w:val="00141E19"/>
    <w:rsid w:val="001420FD"/>
    <w:rsid w:val="00147BA8"/>
    <w:rsid w:val="00156F1E"/>
    <w:rsid w:val="001602DA"/>
    <w:rsid w:val="0016109A"/>
    <w:rsid w:val="001645C9"/>
    <w:rsid w:val="00166307"/>
    <w:rsid w:val="00170513"/>
    <w:rsid w:val="00173BCB"/>
    <w:rsid w:val="00175C8B"/>
    <w:rsid w:val="00181498"/>
    <w:rsid w:val="001860B4"/>
    <w:rsid w:val="001865DA"/>
    <w:rsid w:val="001900A5"/>
    <w:rsid w:val="001908AC"/>
    <w:rsid w:val="00191B0F"/>
    <w:rsid w:val="00197450"/>
    <w:rsid w:val="001A268D"/>
    <w:rsid w:val="001B1F78"/>
    <w:rsid w:val="001B452D"/>
    <w:rsid w:val="001B57BC"/>
    <w:rsid w:val="001B6D23"/>
    <w:rsid w:val="001C446C"/>
    <w:rsid w:val="001E0437"/>
    <w:rsid w:val="001E0726"/>
    <w:rsid w:val="001E0927"/>
    <w:rsid w:val="001E20EA"/>
    <w:rsid w:val="001E4CDB"/>
    <w:rsid w:val="001F056B"/>
    <w:rsid w:val="001F37EA"/>
    <w:rsid w:val="0020081F"/>
    <w:rsid w:val="00207267"/>
    <w:rsid w:val="002125D9"/>
    <w:rsid w:val="00212DC5"/>
    <w:rsid w:val="00220F5D"/>
    <w:rsid w:val="00221929"/>
    <w:rsid w:val="00221B32"/>
    <w:rsid w:val="00222989"/>
    <w:rsid w:val="00230178"/>
    <w:rsid w:val="002314F2"/>
    <w:rsid w:val="002317C8"/>
    <w:rsid w:val="0023505A"/>
    <w:rsid w:val="002377CB"/>
    <w:rsid w:val="00243044"/>
    <w:rsid w:val="00243FAC"/>
    <w:rsid w:val="002505CB"/>
    <w:rsid w:val="00250B18"/>
    <w:rsid w:val="0025315A"/>
    <w:rsid w:val="002533FB"/>
    <w:rsid w:val="0025401E"/>
    <w:rsid w:val="00254B67"/>
    <w:rsid w:val="002619B6"/>
    <w:rsid w:val="002633DF"/>
    <w:rsid w:val="0026364D"/>
    <w:rsid w:val="00264184"/>
    <w:rsid w:val="002642D0"/>
    <w:rsid w:val="00267913"/>
    <w:rsid w:val="00267C1C"/>
    <w:rsid w:val="002713F6"/>
    <w:rsid w:val="00271748"/>
    <w:rsid w:val="002720BE"/>
    <w:rsid w:val="0027489C"/>
    <w:rsid w:val="00274AF2"/>
    <w:rsid w:val="00275816"/>
    <w:rsid w:val="002766B4"/>
    <w:rsid w:val="00282BFA"/>
    <w:rsid w:val="00284579"/>
    <w:rsid w:val="00285ED0"/>
    <w:rsid w:val="002918FD"/>
    <w:rsid w:val="00295CBA"/>
    <w:rsid w:val="00296F53"/>
    <w:rsid w:val="002A098D"/>
    <w:rsid w:val="002A4070"/>
    <w:rsid w:val="002A478E"/>
    <w:rsid w:val="002A55D4"/>
    <w:rsid w:val="002A6FE2"/>
    <w:rsid w:val="002A722F"/>
    <w:rsid w:val="002B02B9"/>
    <w:rsid w:val="002B06FD"/>
    <w:rsid w:val="002B0D92"/>
    <w:rsid w:val="002B3906"/>
    <w:rsid w:val="002B6F41"/>
    <w:rsid w:val="002C04F0"/>
    <w:rsid w:val="002C175E"/>
    <w:rsid w:val="002C3AF8"/>
    <w:rsid w:val="002C48C2"/>
    <w:rsid w:val="002C4CC2"/>
    <w:rsid w:val="002C4DE0"/>
    <w:rsid w:val="002C54B5"/>
    <w:rsid w:val="002C6355"/>
    <w:rsid w:val="002D0678"/>
    <w:rsid w:val="002D1ABE"/>
    <w:rsid w:val="002D54AF"/>
    <w:rsid w:val="002D58AD"/>
    <w:rsid w:val="002F095A"/>
    <w:rsid w:val="002F280A"/>
    <w:rsid w:val="002F2863"/>
    <w:rsid w:val="002F7671"/>
    <w:rsid w:val="003007FE"/>
    <w:rsid w:val="003012AF"/>
    <w:rsid w:val="00302390"/>
    <w:rsid w:val="003130CE"/>
    <w:rsid w:val="0032082A"/>
    <w:rsid w:val="00322396"/>
    <w:rsid w:val="003229B7"/>
    <w:rsid w:val="00322CDB"/>
    <w:rsid w:val="00335855"/>
    <w:rsid w:val="00342BFB"/>
    <w:rsid w:val="003447C5"/>
    <w:rsid w:val="0035415C"/>
    <w:rsid w:val="00355006"/>
    <w:rsid w:val="00363EE8"/>
    <w:rsid w:val="00366B77"/>
    <w:rsid w:val="00366E86"/>
    <w:rsid w:val="00366FE0"/>
    <w:rsid w:val="0036719F"/>
    <w:rsid w:val="00367CA8"/>
    <w:rsid w:val="0037243E"/>
    <w:rsid w:val="00374719"/>
    <w:rsid w:val="00383207"/>
    <w:rsid w:val="00385AF2"/>
    <w:rsid w:val="00391D32"/>
    <w:rsid w:val="00391E3F"/>
    <w:rsid w:val="00395DA1"/>
    <w:rsid w:val="003A3FF0"/>
    <w:rsid w:val="003A5E6D"/>
    <w:rsid w:val="003A6234"/>
    <w:rsid w:val="003B25D7"/>
    <w:rsid w:val="003B2703"/>
    <w:rsid w:val="003B38EA"/>
    <w:rsid w:val="003B7152"/>
    <w:rsid w:val="003B718C"/>
    <w:rsid w:val="003C169C"/>
    <w:rsid w:val="003C294E"/>
    <w:rsid w:val="003C2BB4"/>
    <w:rsid w:val="003C4658"/>
    <w:rsid w:val="003C7EF3"/>
    <w:rsid w:val="003D5B65"/>
    <w:rsid w:val="003E0488"/>
    <w:rsid w:val="003E11C8"/>
    <w:rsid w:val="003E340B"/>
    <w:rsid w:val="003E3EE1"/>
    <w:rsid w:val="003F1AC5"/>
    <w:rsid w:val="003F2222"/>
    <w:rsid w:val="0040308B"/>
    <w:rsid w:val="00404422"/>
    <w:rsid w:val="004139F6"/>
    <w:rsid w:val="004140EB"/>
    <w:rsid w:val="004160E4"/>
    <w:rsid w:val="00417ED9"/>
    <w:rsid w:val="004226B0"/>
    <w:rsid w:val="00426584"/>
    <w:rsid w:val="00430296"/>
    <w:rsid w:val="00431772"/>
    <w:rsid w:val="00433D33"/>
    <w:rsid w:val="004349DA"/>
    <w:rsid w:val="00434AA4"/>
    <w:rsid w:val="00436A00"/>
    <w:rsid w:val="00436DF9"/>
    <w:rsid w:val="00442DE1"/>
    <w:rsid w:val="0044503D"/>
    <w:rsid w:val="004500B2"/>
    <w:rsid w:val="00450DAB"/>
    <w:rsid w:val="0045318F"/>
    <w:rsid w:val="00457173"/>
    <w:rsid w:val="00461455"/>
    <w:rsid w:val="004647BC"/>
    <w:rsid w:val="004656F8"/>
    <w:rsid w:val="00466AEC"/>
    <w:rsid w:val="0046797B"/>
    <w:rsid w:val="00467AD1"/>
    <w:rsid w:val="00472A5F"/>
    <w:rsid w:val="0047324B"/>
    <w:rsid w:val="00474BA0"/>
    <w:rsid w:val="00474FDC"/>
    <w:rsid w:val="004755E2"/>
    <w:rsid w:val="004764F6"/>
    <w:rsid w:val="00477C42"/>
    <w:rsid w:val="00481B66"/>
    <w:rsid w:val="004840E3"/>
    <w:rsid w:val="004861B0"/>
    <w:rsid w:val="0049237D"/>
    <w:rsid w:val="004A081C"/>
    <w:rsid w:val="004A0A4A"/>
    <w:rsid w:val="004A4F83"/>
    <w:rsid w:val="004B06BB"/>
    <w:rsid w:val="004B23FB"/>
    <w:rsid w:val="004B2844"/>
    <w:rsid w:val="004B5DCF"/>
    <w:rsid w:val="004C0F90"/>
    <w:rsid w:val="004C479F"/>
    <w:rsid w:val="004C67E7"/>
    <w:rsid w:val="004D2970"/>
    <w:rsid w:val="004E3835"/>
    <w:rsid w:val="004F5AA9"/>
    <w:rsid w:val="00500254"/>
    <w:rsid w:val="0050177F"/>
    <w:rsid w:val="0050758C"/>
    <w:rsid w:val="00510472"/>
    <w:rsid w:val="00514FC8"/>
    <w:rsid w:val="005169B3"/>
    <w:rsid w:val="005228B3"/>
    <w:rsid w:val="005239DD"/>
    <w:rsid w:val="005303B7"/>
    <w:rsid w:val="00531AF9"/>
    <w:rsid w:val="0053246B"/>
    <w:rsid w:val="00532B8B"/>
    <w:rsid w:val="00535C8B"/>
    <w:rsid w:val="00537B03"/>
    <w:rsid w:val="0055025B"/>
    <w:rsid w:val="005536FB"/>
    <w:rsid w:val="00556079"/>
    <w:rsid w:val="00556534"/>
    <w:rsid w:val="00562773"/>
    <w:rsid w:val="005670B2"/>
    <w:rsid w:val="005704B9"/>
    <w:rsid w:val="00574470"/>
    <w:rsid w:val="005745B6"/>
    <w:rsid w:val="00574B55"/>
    <w:rsid w:val="00576AE1"/>
    <w:rsid w:val="005801A5"/>
    <w:rsid w:val="00583B66"/>
    <w:rsid w:val="00587F9E"/>
    <w:rsid w:val="005907FD"/>
    <w:rsid w:val="00592096"/>
    <w:rsid w:val="00595590"/>
    <w:rsid w:val="005A0A5F"/>
    <w:rsid w:val="005A75DE"/>
    <w:rsid w:val="005A76C2"/>
    <w:rsid w:val="005B3721"/>
    <w:rsid w:val="005C6663"/>
    <w:rsid w:val="005D267F"/>
    <w:rsid w:val="005D2E8C"/>
    <w:rsid w:val="005E35DF"/>
    <w:rsid w:val="005E5B87"/>
    <w:rsid w:val="005E7B7F"/>
    <w:rsid w:val="005F065D"/>
    <w:rsid w:val="005F06B0"/>
    <w:rsid w:val="005F0C23"/>
    <w:rsid w:val="005F2DC2"/>
    <w:rsid w:val="005F3A2E"/>
    <w:rsid w:val="005F54BB"/>
    <w:rsid w:val="006003C4"/>
    <w:rsid w:val="0060320F"/>
    <w:rsid w:val="0060489B"/>
    <w:rsid w:val="00604DBA"/>
    <w:rsid w:val="00615424"/>
    <w:rsid w:val="0062102D"/>
    <w:rsid w:val="00626C9E"/>
    <w:rsid w:val="00630B66"/>
    <w:rsid w:val="00631D2F"/>
    <w:rsid w:val="006368E5"/>
    <w:rsid w:val="006376F9"/>
    <w:rsid w:val="00641A75"/>
    <w:rsid w:val="00644387"/>
    <w:rsid w:val="006471A1"/>
    <w:rsid w:val="00647AAF"/>
    <w:rsid w:val="006514CF"/>
    <w:rsid w:val="00651DBA"/>
    <w:rsid w:val="006522C3"/>
    <w:rsid w:val="00656388"/>
    <w:rsid w:val="00656A21"/>
    <w:rsid w:val="00657272"/>
    <w:rsid w:val="00657CE4"/>
    <w:rsid w:val="0066014B"/>
    <w:rsid w:val="00661F9F"/>
    <w:rsid w:val="0066622F"/>
    <w:rsid w:val="00666E5E"/>
    <w:rsid w:val="00667044"/>
    <w:rsid w:val="00667B7B"/>
    <w:rsid w:val="00670C1D"/>
    <w:rsid w:val="00672934"/>
    <w:rsid w:val="006750E4"/>
    <w:rsid w:val="006818F4"/>
    <w:rsid w:val="0068613E"/>
    <w:rsid w:val="0068782C"/>
    <w:rsid w:val="00690E9F"/>
    <w:rsid w:val="0069599D"/>
    <w:rsid w:val="00695A56"/>
    <w:rsid w:val="006A0583"/>
    <w:rsid w:val="006A2AAF"/>
    <w:rsid w:val="006A60D2"/>
    <w:rsid w:val="006A7C34"/>
    <w:rsid w:val="006B0220"/>
    <w:rsid w:val="006B1526"/>
    <w:rsid w:val="006C144B"/>
    <w:rsid w:val="006C1FD2"/>
    <w:rsid w:val="006C3D39"/>
    <w:rsid w:val="006C40C2"/>
    <w:rsid w:val="006C5A6D"/>
    <w:rsid w:val="006C72FB"/>
    <w:rsid w:val="006D1608"/>
    <w:rsid w:val="006D5CA7"/>
    <w:rsid w:val="006D7667"/>
    <w:rsid w:val="006D789F"/>
    <w:rsid w:val="006D7B1F"/>
    <w:rsid w:val="006E7CB1"/>
    <w:rsid w:val="006F2748"/>
    <w:rsid w:val="006F5256"/>
    <w:rsid w:val="006F69DC"/>
    <w:rsid w:val="00706C65"/>
    <w:rsid w:val="00710B5A"/>
    <w:rsid w:val="00712ABA"/>
    <w:rsid w:val="00720529"/>
    <w:rsid w:val="00720747"/>
    <w:rsid w:val="00724549"/>
    <w:rsid w:val="00726429"/>
    <w:rsid w:val="00730914"/>
    <w:rsid w:val="007325B4"/>
    <w:rsid w:val="00741E0A"/>
    <w:rsid w:val="00742066"/>
    <w:rsid w:val="007421B5"/>
    <w:rsid w:val="007424FF"/>
    <w:rsid w:val="007504EF"/>
    <w:rsid w:val="00751413"/>
    <w:rsid w:val="00751D41"/>
    <w:rsid w:val="00752E1C"/>
    <w:rsid w:val="007576F5"/>
    <w:rsid w:val="007579E8"/>
    <w:rsid w:val="0076108D"/>
    <w:rsid w:val="00767934"/>
    <w:rsid w:val="007709B7"/>
    <w:rsid w:val="00773A2C"/>
    <w:rsid w:val="007740C5"/>
    <w:rsid w:val="00775798"/>
    <w:rsid w:val="00776F5C"/>
    <w:rsid w:val="00777665"/>
    <w:rsid w:val="00777965"/>
    <w:rsid w:val="00777A65"/>
    <w:rsid w:val="007802D8"/>
    <w:rsid w:val="0078056C"/>
    <w:rsid w:val="00791412"/>
    <w:rsid w:val="00792334"/>
    <w:rsid w:val="00797BD5"/>
    <w:rsid w:val="007A4603"/>
    <w:rsid w:val="007A4D4D"/>
    <w:rsid w:val="007A6066"/>
    <w:rsid w:val="007B147E"/>
    <w:rsid w:val="007B1F94"/>
    <w:rsid w:val="007B43E0"/>
    <w:rsid w:val="007B4938"/>
    <w:rsid w:val="007B5299"/>
    <w:rsid w:val="007B7A04"/>
    <w:rsid w:val="007C2AEC"/>
    <w:rsid w:val="007C7330"/>
    <w:rsid w:val="007C7695"/>
    <w:rsid w:val="007D3FA1"/>
    <w:rsid w:val="007D6E0F"/>
    <w:rsid w:val="007E0376"/>
    <w:rsid w:val="007E1088"/>
    <w:rsid w:val="007E1139"/>
    <w:rsid w:val="007E18B0"/>
    <w:rsid w:val="007E44C6"/>
    <w:rsid w:val="007F2714"/>
    <w:rsid w:val="007F3A58"/>
    <w:rsid w:val="007F4131"/>
    <w:rsid w:val="00805F91"/>
    <w:rsid w:val="00815376"/>
    <w:rsid w:val="0082138E"/>
    <w:rsid w:val="00824DE3"/>
    <w:rsid w:val="00827351"/>
    <w:rsid w:val="00827C03"/>
    <w:rsid w:val="00827FE1"/>
    <w:rsid w:val="00830A64"/>
    <w:rsid w:val="00833827"/>
    <w:rsid w:val="008358FB"/>
    <w:rsid w:val="008422A0"/>
    <w:rsid w:val="008428B6"/>
    <w:rsid w:val="00842EEF"/>
    <w:rsid w:val="00847FCB"/>
    <w:rsid w:val="008536F6"/>
    <w:rsid w:val="00856458"/>
    <w:rsid w:val="00861563"/>
    <w:rsid w:val="008755CD"/>
    <w:rsid w:val="008844FF"/>
    <w:rsid w:val="00885033"/>
    <w:rsid w:val="00886709"/>
    <w:rsid w:val="0088672E"/>
    <w:rsid w:val="00887C61"/>
    <w:rsid w:val="008939C4"/>
    <w:rsid w:val="0089557F"/>
    <w:rsid w:val="00896456"/>
    <w:rsid w:val="00896CCF"/>
    <w:rsid w:val="008A111B"/>
    <w:rsid w:val="008A2F95"/>
    <w:rsid w:val="008A390A"/>
    <w:rsid w:val="008A3D50"/>
    <w:rsid w:val="008A598B"/>
    <w:rsid w:val="008A6D3E"/>
    <w:rsid w:val="008A7BA3"/>
    <w:rsid w:val="008B18A6"/>
    <w:rsid w:val="008B1F1A"/>
    <w:rsid w:val="008B5C54"/>
    <w:rsid w:val="008B774B"/>
    <w:rsid w:val="008B7D56"/>
    <w:rsid w:val="008B7E5F"/>
    <w:rsid w:val="008C3811"/>
    <w:rsid w:val="008C4D4C"/>
    <w:rsid w:val="008C5DB9"/>
    <w:rsid w:val="008D1D0F"/>
    <w:rsid w:val="008E0EC3"/>
    <w:rsid w:val="008E3E52"/>
    <w:rsid w:val="008E60FC"/>
    <w:rsid w:val="008E7429"/>
    <w:rsid w:val="008F04B5"/>
    <w:rsid w:val="008F23BC"/>
    <w:rsid w:val="008F5D56"/>
    <w:rsid w:val="00901E1A"/>
    <w:rsid w:val="0090233C"/>
    <w:rsid w:val="00904CBE"/>
    <w:rsid w:val="0090518E"/>
    <w:rsid w:val="00905B20"/>
    <w:rsid w:val="0092683B"/>
    <w:rsid w:val="00926CDD"/>
    <w:rsid w:val="00932C7E"/>
    <w:rsid w:val="0093466F"/>
    <w:rsid w:val="00946AB4"/>
    <w:rsid w:val="00950614"/>
    <w:rsid w:val="0095222C"/>
    <w:rsid w:val="0095670B"/>
    <w:rsid w:val="009610E7"/>
    <w:rsid w:val="0096135C"/>
    <w:rsid w:val="009644DF"/>
    <w:rsid w:val="00971400"/>
    <w:rsid w:val="00971B70"/>
    <w:rsid w:val="00975121"/>
    <w:rsid w:val="00976C46"/>
    <w:rsid w:val="00977F8A"/>
    <w:rsid w:val="0098147B"/>
    <w:rsid w:val="009814A2"/>
    <w:rsid w:val="00984F04"/>
    <w:rsid w:val="00987E85"/>
    <w:rsid w:val="009905C6"/>
    <w:rsid w:val="00993487"/>
    <w:rsid w:val="009937FE"/>
    <w:rsid w:val="00996D99"/>
    <w:rsid w:val="009A03C9"/>
    <w:rsid w:val="009A0817"/>
    <w:rsid w:val="009A231D"/>
    <w:rsid w:val="009B5E74"/>
    <w:rsid w:val="009B7899"/>
    <w:rsid w:val="009C3A2B"/>
    <w:rsid w:val="009C3FB1"/>
    <w:rsid w:val="009C5CB9"/>
    <w:rsid w:val="009C7125"/>
    <w:rsid w:val="009C79F9"/>
    <w:rsid w:val="009D0109"/>
    <w:rsid w:val="009D5E02"/>
    <w:rsid w:val="009E025D"/>
    <w:rsid w:val="009E0823"/>
    <w:rsid w:val="009E344F"/>
    <w:rsid w:val="009F118C"/>
    <w:rsid w:val="009F2177"/>
    <w:rsid w:val="00A00EB6"/>
    <w:rsid w:val="00A01FCC"/>
    <w:rsid w:val="00A0427E"/>
    <w:rsid w:val="00A069BF"/>
    <w:rsid w:val="00A10372"/>
    <w:rsid w:val="00A219B4"/>
    <w:rsid w:val="00A23C0C"/>
    <w:rsid w:val="00A23C6A"/>
    <w:rsid w:val="00A25A4F"/>
    <w:rsid w:val="00A3267A"/>
    <w:rsid w:val="00A35D7C"/>
    <w:rsid w:val="00A36F2D"/>
    <w:rsid w:val="00A406F8"/>
    <w:rsid w:val="00A44EB7"/>
    <w:rsid w:val="00A462DE"/>
    <w:rsid w:val="00A518DD"/>
    <w:rsid w:val="00A52B01"/>
    <w:rsid w:val="00A53998"/>
    <w:rsid w:val="00A557E4"/>
    <w:rsid w:val="00A62124"/>
    <w:rsid w:val="00A6217F"/>
    <w:rsid w:val="00A6501D"/>
    <w:rsid w:val="00A65171"/>
    <w:rsid w:val="00A672A7"/>
    <w:rsid w:val="00A77F37"/>
    <w:rsid w:val="00A81584"/>
    <w:rsid w:val="00A81601"/>
    <w:rsid w:val="00A81E53"/>
    <w:rsid w:val="00A860EC"/>
    <w:rsid w:val="00A86545"/>
    <w:rsid w:val="00A92C96"/>
    <w:rsid w:val="00A934B0"/>
    <w:rsid w:val="00A94BC1"/>
    <w:rsid w:val="00AA0223"/>
    <w:rsid w:val="00AA0B3C"/>
    <w:rsid w:val="00AA0E5E"/>
    <w:rsid w:val="00AA6591"/>
    <w:rsid w:val="00AB1C54"/>
    <w:rsid w:val="00AB2890"/>
    <w:rsid w:val="00AC1795"/>
    <w:rsid w:val="00AD07DD"/>
    <w:rsid w:val="00AD73B7"/>
    <w:rsid w:val="00AD7AA4"/>
    <w:rsid w:val="00AE0683"/>
    <w:rsid w:val="00AE08A8"/>
    <w:rsid w:val="00AE552C"/>
    <w:rsid w:val="00AF03AD"/>
    <w:rsid w:val="00AF3423"/>
    <w:rsid w:val="00AF3FB5"/>
    <w:rsid w:val="00AF4976"/>
    <w:rsid w:val="00B04075"/>
    <w:rsid w:val="00B067E0"/>
    <w:rsid w:val="00B07C75"/>
    <w:rsid w:val="00B10DC2"/>
    <w:rsid w:val="00B11E56"/>
    <w:rsid w:val="00B21B87"/>
    <w:rsid w:val="00B26173"/>
    <w:rsid w:val="00B262A9"/>
    <w:rsid w:val="00B3545D"/>
    <w:rsid w:val="00B36D18"/>
    <w:rsid w:val="00B42C29"/>
    <w:rsid w:val="00B50822"/>
    <w:rsid w:val="00B52507"/>
    <w:rsid w:val="00B54430"/>
    <w:rsid w:val="00B54A28"/>
    <w:rsid w:val="00B63773"/>
    <w:rsid w:val="00B65E74"/>
    <w:rsid w:val="00B670A3"/>
    <w:rsid w:val="00B67B5B"/>
    <w:rsid w:val="00B81DB1"/>
    <w:rsid w:val="00B820D4"/>
    <w:rsid w:val="00B93823"/>
    <w:rsid w:val="00BA146F"/>
    <w:rsid w:val="00BA356D"/>
    <w:rsid w:val="00BA75E9"/>
    <w:rsid w:val="00BA76A7"/>
    <w:rsid w:val="00BB1459"/>
    <w:rsid w:val="00BB146F"/>
    <w:rsid w:val="00BC1725"/>
    <w:rsid w:val="00BC29A7"/>
    <w:rsid w:val="00BD35AF"/>
    <w:rsid w:val="00BD5D2F"/>
    <w:rsid w:val="00BD7448"/>
    <w:rsid w:val="00BD7F74"/>
    <w:rsid w:val="00BE071C"/>
    <w:rsid w:val="00BE3330"/>
    <w:rsid w:val="00BF0578"/>
    <w:rsid w:val="00BF065E"/>
    <w:rsid w:val="00BF1BC3"/>
    <w:rsid w:val="00BF357B"/>
    <w:rsid w:val="00BF3BEE"/>
    <w:rsid w:val="00BF43CF"/>
    <w:rsid w:val="00C01009"/>
    <w:rsid w:val="00C01743"/>
    <w:rsid w:val="00C02C7A"/>
    <w:rsid w:val="00C03F90"/>
    <w:rsid w:val="00C161EA"/>
    <w:rsid w:val="00C16392"/>
    <w:rsid w:val="00C1650F"/>
    <w:rsid w:val="00C202CE"/>
    <w:rsid w:val="00C21EFF"/>
    <w:rsid w:val="00C23B45"/>
    <w:rsid w:val="00C24D88"/>
    <w:rsid w:val="00C3482E"/>
    <w:rsid w:val="00C3639C"/>
    <w:rsid w:val="00C418C8"/>
    <w:rsid w:val="00C4417A"/>
    <w:rsid w:val="00C52711"/>
    <w:rsid w:val="00C54BDA"/>
    <w:rsid w:val="00C55627"/>
    <w:rsid w:val="00C61DEE"/>
    <w:rsid w:val="00C664FD"/>
    <w:rsid w:val="00C66960"/>
    <w:rsid w:val="00C71C0D"/>
    <w:rsid w:val="00C71D83"/>
    <w:rsid w:val="00C742F9"/>
    <w:rsid w:val="00C7453C"/>
    <w:rsid w:val="00C77131"/>
    <w:rsid w:val="00C809AB"/>
    <w:rsid w:val="00C91B71"/>
    <w:rsid w:val="00C92940"/>
    <w:rsid w:val="00C9351C"/>
    <w:rsid w:val="00CA215D"/>
    <w:rsid w:val="00CA5DCD"/>
    <w:rsid w:val="00CB0846"/>
    <w:rsid w:val="00CB2864"/>
    <w:rsid w:val="00CB53C1"/>
    <w:rsid w:val="00CC1306"/>
    <w:rsid w:val="00CC4018"/>
    <w:rsid w:val="00CD52B5"/>
    <w:rsid w:val="00CD5397"/>
    <w:rsid w:val="00CE10B7"/>
    <w:rsid w:val="00CE1295"/>
    <w:rsid w:val="00CE3635"/>
    <w:rsid w:val="00CE4EEF"/>
    <w:rsid w:val="00CE76C6"/>
    <w:rsid w:val="00CE7C48"/>
    <w:rsid w:val="00CF3964"/>
    <w:rsid w:val="00CF545A"/>
    <w:rsid w:val="00D01FC5"/>
    <w:rsid w:val="00D04326"/>
    <w:rsid w:val="00D051FE"/>
    <w:rsid w:val="00D06F01"/>
    <w:rsid w:val="00D13EC8"/>
    <w:rsid w:val="00D17838"/>
    <w:rsid w:val="00D20F91"/>
    <w:rsid w:val="00D2432B"/>
    <w:rsid w:val="00D402A2"/>
    <w:rsid w:val="00D40DC4"/>
    <w:rsid w:val="00D45707"/>
    <w:rsid w:val="00D47D7F"/>
    <w:rsid w:val="00D521BD"/>
    <w:rsid w:val="00D52608"/>
    <w:rsid w:val="00D5319A"/>
    <w:rsid w:val="00D547E8"/>
    <w:rsid w:val="00D577AB"/>
    <w:rsid w:val="00D62F80"/>
    <w:rsid w:val="00D67065"/>
    <w:rsid w:val="00D67498"/>
    <w:rsid w:val="00D74F8E"/>
    <w:rsid w:val="00D779A5"/>
    <w:rsid w:val="00D80FE2"/>
    <w:rsid w:val="00D8219E"/>
    <w:rsid w:val="00D83EF8"/>
    <w:rsid w:val="00D8487D"/>
    <w:rsid w:val="00D84B8B"/>
    <w:rsid w:val="00D92DBA"/>
    <w:rsid w:val="00D938ED"/>
    <w:rsid w:val="00D93A21"/>
    <w:rsid w:val="00D940FA"/>
    <w:rsid w:val="00D95EC6"/>
    <w:rsid w:val="00DA2BD1"/>
    <w:rsid w:val="00DA2F80"/>
    <w:rsid w:val="00DA5E70"/>
    <w:rsid w:val="00DB0769"/>
    <w:rsid w:val="00DB077D"/>
    <w:rsid w:val="00DB1810"/>
    <w:rsid w:val="00DB1E94"/>
    <w:rsid w:val="00DB5AE5"/>
    <w:rsid w:val="00DB61CD"/>
    <w:rsid w:val="00DB626C"/>
    <w:rsid w:val="00DC03B2"/>
    <w:rsid w:val="00DC2077"/>
    <w:rsid w:val="00DC2F95"/>
    <w:rsid w:val="00DD11C4"/>
    <w:rsid w:val="00DD7E6C"/>
    <w:rsid w:val="00DF0523"/>
    <w:rsid w:val="00DF17C1"/>
    <w:rsid w:val="00DF64D2"/>
    <w:rsid w:val="00DF70D1"/>
    <w:rsid w:val="00E0081B"/>
    <w:rsid w:val="00E0288A"/>
    <w:rsid w:val="00E02D92"/>
    <w:rsid w:val="00E045D2"/>
    <w:rsid w:val="00E05ED0"/>
    <w:rsid w:val="00E077E5"/>
    <w:rsid w:val="00E11417"/>
    <w:rsid w:val="00E13DC4"/>
    <w:rsid w:val="00E1446C"/>
    <w:rsid w:val="00E1637F"/>
    <w:rsid w:val="00E20026"/>
    <w:rsid w:val="00E22BCA"/>
    <w:rsid w:val="00E27365"/>
    <w:rsid w:val="00E431F0"/>
    <w:rsid w:val="00E443DF"/>
    <w:rsid w:val="00E44419"/>
    <w:rsid w:val="00E4724C"/>
    <w:rsid w:val="00E51C78"/>
    <w:rsid w:val="00E5276B"/>
    <w:rsid w:val="00E52CC0"/>
    <w:rsid w:val="00E605E3"/>
    <w:rsid w:val="00E608CF"/>
    <w:rsid w:val="00E65210"/>
    <w:rsid w:val="00E654D4"/>
    <w:rsid w:val="00E65954"/>
    <w:rsid w:val="00E659AC"/>
    <w:rsid w:val="00E7458E"/>
    <w:rsid w:val="00E82593"/>
    <w:rsid w:val="00E8437F"/>
    <w:rsid w:val="00E9262E"/>
    <w:rsid w:val="00E94DFE"/>
    <w:rsid w:val="00E96451"/>
    <w:rsid w:val="00E96628"/>
    <w:rsid w:val="00EA03B0"/>
    <w:rsid w:val="00EA14BB"/>
    <w:rsid w:val="00EB31EC"/>
    <w:rsid w:val="00EB7D8E"/>
    <w:rsid w:val="00EB7FB9"/>
    <w:rsid w:val="00EC5DA3"/>
    <w:rsid w:val="00ED454A"/>
    <w:rsid w:val="00ED45F7"/>
    <w:rsid w:val="00ED4758"/>
    <w:rsid w:val="00EE10BE"/>
    <w:rsid w:val="00EE4CD4"/>
    <w:rsid w:val="00EE62A0"/>
    <w:rsid w:val="00EF2935"/>
    <w:rsid w:val="00EF313B"/>
    <w:rsid w:val="00EF485C"/>
    <w:rsid w:val="00EF6539"/>
    <w:rsid w:val="00F048B4"/>
    <w:rsid w:val="00F064A8"/>
    <w:rsid w:val="00F10014"/>
    <w:rsid w:val="00F13CF6"/>
    <w:rsid w:val="00F140F0"/>
    <w:rsid w:val="00F14F7A"/>
    <w:rsid w:val="00F16AE8"/>
    <w:rsid w:val="00F24178"/>
    <w:rsid w:val="00F336D8"/>
    <w:rsid w:val="00F4118A"/>
    <w:rsid w:val="00F43C64"/>
    <w:rsid w:val="00F44D3B"/>
    <w:rsid w:val="00F5340E"/>
    <w:rsid w:val="00F57C58"/>
    <w:rsid w:val="00F630EF"/>
    <w:rsid w:val="00F6486A"/>
    <w:rsid w:val="00F64DD3"/>
    <w:rsid w:val="00F7004C"/>
    <w:rsid w:val="00F74DBE"/>
    <w:rsid w:val="00F83051"/>
    <w:rsid w:val="00F9781F"/>
    <w:rsid w:val="00FB1122"/>
    <w:rsid w:val="00FB18E6"/>
    <w:rsid w:val="00FB4746"/>
    <w:rsid w:val="00FB6DFB"/>
    <w:rsid w:val="00FC2926"/>
    <w:rsid w:val="00FC578D"/>
    <w:rsid w:val="00FC6559"/>
    <w:rsid w:val="00FD6E0B"/>
    <w:rsid w:val="00FE175F"/>
    <w:rsid w:val="00FE28E6"/>
    <w:rsid w:val="00FE3507"/>
    <w:rsid w:val="00FE493A"/>
    <w:rsid w:val="00FF211E"/>
    <w:rsid w:val="00FF6972"/>
    <w:rsid w:val="00FF6DC2"/>
    <w:rsid w:val="00FF6DFC"/>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04B608C-55FD-4C69-B926-589DBAC7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qFormat="1"/>
    <w:lsdException w:name="List Number 3" w:semiHidden="1" w:uiPriority="0" w:unhideWhenUsed="1"/>
    <w:lsdException w:name="List Number 4" w:semiHidden="1" w:uiPriority="4"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00EB6"/>
    <w:pPr>
      <w:spacing w:after="120" w:line="240" w:lineRule="auto"/>
      <w:jc w:val="both"/>
    </w:pPr>
    <w:rPr>
      <w:rFonts w:ascii="Arial" w:hAnsi="Arial"/>
      <w:sz w:val="20"/>
    </w:rPr>
  </w:style>
  <w:style w:type="paragraph" w:styleId="Cmsor1">
    <w:name w:val="heading 1"/>
    <w:aliases w:val="leap1cim,Numbered - 1,H1,left I2,h1,L1,l1,Okean Címsor 1"/>
    <w:basedOn w:val="Norml"/>
    <w:next w:val="Norml"/>
    <w:link w:val="Cmsor1Char"/>
    <w:qFormat/>
    <w:rsid w:val="00DD7E6C"/>
    <w:pPr>
      <w:keepNext/>
      <w:keepLines/>
      <w:pageBreakBefore/>
      <w:numPr>
        <w:numId w:val="150"/>
      </w:numPr>
      <w:tabs>
        <w:tab w:val="clear" w:pos="851"/>
        <w:tab w:val="num" w:pos="426"/>
      </w:tabs>
      <w:suppressAutoHyphens/>
      <w:spacing w:before="2680" w:after="130" w:line="320" w:lineRule="exact"/>
      <w:outlineLvl w:val="0"/>
    </w:pPr>
    <w:rPr>
      <w:rFonts w:eastAsia="Times New Roman" w:cs="Arial"/>
      <w:b/>
      <w:sz w:val="32"/>
      <w:szCs w:val="32"/>
      <w:lang w:eastAsia="hu-HU"/>
    </w:rPr>
  </w:style>
  <w:style w:type="paragraph" w:styleId="Cmsor2">
    <w:name w:val="heading 2"/>
    <w:aliases w:val="második lépcsõ,Fejléc 2,H2,normal left,Bold 14,h2,L2,Okean2,_NFÜ"/>
    <w:basedOn w:val="Cmsor1"/>
    <w:next w:val="Norml"/>
    <w:link w:val="Cmsor2Char"/>
    <w:qFormat/>
    <w:rsid w:val="00DD7E6C"/>
    <w:pPr>
      <w:pageBreakBefore w:val="0"/>
      <w:numPr>
        <w:ilvl w:val="1"/>
      </w:numPr>
      <w:spacing w:before="270" w:after="90" w:line="270" w:lineRule="exact"/>
      <w:ind w:left="567" w:hanging="567"/>
      <w:outlineLvl w:val="1"/>
    </w:pPr>
    <w:rPr>
      <w:sz w:val="28"/>
      <w:szCs w:val="28"/>
      <w:lang w:val="x-none" w:eastAsia="x-none"/>
    </w:rPr>
  </w:style>
  <w:style w:type="paragraph" w:styleId="Cmsor3">
    <w:name w:val="heading 3"/>
    <w:aliases w:val="harmadik lépcsõ,KopCat. 3,H3,left I3,Bold 12,L3,h3,Okean3,NFÜ,Címsor 3 Char1,Címsor 3 Char Char,Okean3 Char Char,NFÜ Char"/>
    <w:basedOn w:val="Cmsor2"/>
    <w:next w:val="Norml"/>
    <w:link w:val="Cmsor3Char"/>
    <w:qFormat/>
    <w:rsid w:val="00A00EB6"/>
    <w:pPr>
      <w:numPr>
        <w:ilvl w:val="2"/>
      </w:numPr>
      <w:spacing w:after="60"/>
      <w:outlineLvl w:val="2"/>
    </w:pPr>
    <w:rPr>
      <w:sz w:val="24"/>
      <w:szCs w:val="24"/>
    </w:rPr>
  </w:style>
  <w:style w:type="paragraph" w:styleId="Cmsor4">
    <w:name w:val="heading 4"/>
    <w:aliases w:val="Char,h4"/>
    <w:basedOn w:val="Norml"/>
    <w:next w:val="Norml"/>
    <w:link w:val="Cmsor4Char"/>
    <w:qFormat/>
    <w:rsid w:val="005A76C2"/>
    <w:pPr>
      <w:keepNext/>
      <w:keepLines/>
      <w:spacing w:before="120" w:after="60" w:line="270" w:lineRule="atLeast"/>
      <w:outlineLvl w:val="3"/>
    </w:pPr>
    <w:rPr>
      <w:rFonts w:eastAsia="Times New Roman" w:cs="Arial"/>
      <w:b/>
      <w:color w:val="0070C0"/>
      <w:sz w:val="23"/>
      <w:szCs w:val="20"/>
      <w:lang w:eastAsia="hu-HU"/>
    </w:rPr>
  </w:style>
  <w:style w:type="paragraph" w:styleId="Cmsor5">
    <w:name w:val="heading 5"/>
    <w:aliases w:val="L5"/>
    <w:basedOn w:val="Norml"/>
    <w:next w:val="Norml"/>
    <w:link w:val="Cmsor5Char"/>
    <w:qFormat/>
    <w:rsid w:val="00A00EB6"/>
    <w:pPr>
      <w:spacing w:before="120" w:after="60" w:line="270" w:lineRule="atLeast"/>
      <w:outlineLvl w:val="4"/>
    </w:pPr>
    <w:rPr>
      <w:rFonts w:eastAsia="Times New Roman" w:cs="Times New Roman"/>
      <w:b/>
      <w:i/>
      <w:color w:val="5B9BD5" w:themeColor="accent1"/>
      <w:szCs w:val="20"/>
      <w:lang w:val="x-none" w:eastAsia="x-none"/>
    </w:rPr>
  </w:style>
  <w:style w:type="paragraph" w:styleId="Cmsor6">
    <w:name w:val="heading 6"/>
    <w:aliases w:val="h6"/>
    <w:basedOn w:val="Norml"/>
    <w:next w:val="Norml"/>
    <w:link w:val="Cmsor6Char"/>
    <w:qFormat/>
    <w:rsid w:val="00A00EB6"/>
    <w:pPr>
      <w:numPr>
        <w:ilvl w:val="5"/>
        <w:numId w:val="150"/>
      </w:numPr>
      <w:spacing w:before="240" w:after="60" w:line="270" w:lineRule="atLeast"/>
      <w:outlineLvl w:val="5"/>
    </w:pPr>
    <w:rPr>
      <w:rFonts w:eastAsia="Times New Roman" w:cs="Times New Roman"/>
      <w:i/>
      <w:szCs w:val="20"/>
      <w:lang w:eastAsia="hu-HU"/>
    </w:rPr>
  </w:style>
  <w:style w:type="paragraph" w:styleId="Cmsor7">
    <w:name w:val="heading 7"/>
    <w:basedOn w:val="Norml"/>
    <w:next w:val="Norml"/>
    <w:link w:val="Cmsor7Char"/>
    <w:qFormat/>
    <w:rsid w:val="00A00EB6"/>
    <w:pPr>
      <w:spacing w:before="240" w:after="60" w:line="270" w:lineRule="atLeast"/>
      <w:outlineLvl w:val="6"/>
    </w:pPr>
    <w:rPr>
      <w:rFonts w:eastAsia="Times New Roman" w:cs="Times New Roman"/>
      <w:b/>
      <w:szCs w:val="20"/>
      <w:shd w:val="clear" w:color="auto" w:fill="FFC000" w:themeFill="accent4"/>
      <w:lang w:eastAsia="hu-HU"/>
    </w:rPr>
  </w:style>
  <w:style w:type="paragraph" w:styleId="Cmsor8">
    <w:name w:val="heading 8"/>
    <w:basedOn w:val="Norml"/>
    <w:next w:val="Norml"/>
    <w:link w:val="Cmsor8Char"/>
    <w:qFormat/>
    <w:rsid w:val="00A00EB6"/>
    <w:pPr>
      <w:numPr>
        <w:ilvl w:val="7"/>
        <w:numId w:val="150"/>
      </w:numPr>
      <w:spacing w:before="240" w:after="60" w:line="270" w:lineRule="atLeast"/>
      <w:outlineLvl w:val="7"/>
    </w:pPr>
    <w:rPr>
      <w:rFonts w:eastAsia="Times New Roman" w:cs="Times New Roman"/>
      <w:i/>
      <w:sz w:val="23"/>
      <w:szCs w:val="20"/>
      <w:lang w:eastAsia="hu-HU"/>
    </w:rPr>
  </w:style>
  <w:style w:type="paragraph" w:styleId="Cmsor9">
    <w:name w:val="heading 9"/>
    <w:basedOn w:val="Norml"/>
    <w:next w:val="Norml"/>
    <w:link w:val="Cmsor9Char"/>
    <w:qFormat/>
    <w:rsid w:val="00A00EB6"/>
    <w:pPr>
      <w:numPr>
        <w:ilvl w:val="8"/>
        <w:numId w:val="150"/>
      </w:numPr>
      <w:spacing w:before="240" w:after="60" w:line="270" w:lineRule="atLeast"/>
      <w:outlineLvl w:val="8"/>
    </w:pPr>
    <w:rPr>
      <w:rFonts w:eastAsia="Times New Roman" w:cs="Times New Roman"/>
      <w:i/>
      <w:sz w:val="18"/>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numbering" w:styleId="111111">
    <w:name w:val="Outline List 2"/>
    <w:basedOn w:val="Nemlista"/>
    <w:rsid w:val="00A00EB6"/>
    <w:pPr>
      <w:numPr>
        <w:numId w:val="143"/>
      </w:numPr>
    </w:pPr>
  </w:style>
  <w:style w:type="paragraph" w:customStyle="1" w:styleId="bra">
    <w:name w:val="Ábra"/>
    <w:basedOn w:val="Norml"/>
    <w:autoRedefine/>
    <w:rsid w:val="00A00EB6"/>
    <w:pPr>
      <w:tabs>
        <w:tab w:val="num" w:pos="1134"/>
      </w:tabs>
      <w:spacing w:after="0" w:line="360" w:lineRule="auto"/>
      <w:ind w:left="567" w:hanging="567"/>
    </w:pPr>
    <w:rPr>
      <w:rFonts w:eastAsia="Times New Roman" w:cs="Times New Roman"/>
      <w:i/>
      <w:noProof/>
      <w:szCs w:val="24"/>
      <w:lang w:eastAsia="hu-HU"/>
    </w:rPr>
  </w:style>
  <w:style w:type="paragraph" w:styleId="brajegyzk">
    <w:name w:val="table of figures"/>
    <w:basedOn w:val="Norml"/>
    <w:next w:val="Norml"/>
    <w:uiPriority w:val="99"/>
    <w:rsid w:val="00A00EB6"/>
    <w:pPr>
      <w:spacing w:after="0" w:line="270" w:lineRule="atLeast"/>
      <w:ind w:left="480" w:hanging="480"/>
    </w:pPr>
    <w:rPr>
      <w:rFonts w:eastAsia="Times New Roman" w:cs="Times New Roman"/>
      <w:szCs w:val="20"/>
      <w:lang w:val="en-GB" w:eastAsia="hu-HU"/>
    </w:rPr>
  </w:style>
  <w:style w:type="character" w:customStyle="1" w:styleId="Cmsor1Char">
    <w:name w:val="Címsor 1 Char"/>
    <w:aliases w:val="leap1cim Char,Numbered - 1 Char,H1 Char,left I2 Char,h1 Char,L1 Char,l1 Char,Okean Címsor 1 Char"/>
    <w:basedOn w:val="Bekezdsalapbettpusa"/>
    <w:link w:val="Cmsor1"/>
    <w:rsid w:val="00DD7E6C"/>
    <w:rPr>
      <w:rFonts w:ascii="Arial" w:eastAsia="Times New Roman" w:hAnsi="Arial" w:cs="Arial"/>
      <w:b/>
      <w:sz w:val="32"/>
      <w:szCs w:val="32"/>
      <w:lang w:eastAsia="hu-HU"/>
    </w:rPr>
  </w:style>
  <w:style w:type="character" w:customStyle="1" w:styleId="Cmsor2Char">
    <w:name w:val="Címsor 2 Char"/>
    <w:aliases w:val="második lépcsõ Char,Fejléc 2 Char,H2 Char,normal left Char,Bold 14 Char,h2 Char,L2 Char,Okean2 Char,_NFÜ Char"/>
    <w:basedOn w:val="Bekezdsalapbettpusa"/>
    <w:link w:val="Cmsor2"/>
    <w:rsid w:val="00DD7E6C"/>
    <w:rPr>
      <w:rFonts w:ascii="Arial" w:eastAsia="Times New Roman" w:hAnsi="Arial" w:cs="Arial"/>
      <w:b/>
      <w:sz w:val="28"/>
      <w:szCs w:val="28"/>
      <w:lang w:val="x-none" w:eastAsia="x-none"/>
    </w:rPr>
  </w:style>
  <w:style w:type="character" w:customStyle="1" w:styleId="Cmsor3Char">
    <w:name w:val="Címsor 3 Char"/>
    <w:aliases w:val="harmadik lépcsõ Char,KopCat. 3 Char,H3 Char,left I3 Char,Bold 12 Char,L3 Char,h3 Char,Okean3 Char,NFÜ Char1,Címsor 3 Char1 Char,Címsor 3 Char Char Char,Okean3 Char Char Char,NFÜ Char Char"/>
    <w:basedOn w:val="Bekezdsalapbettpusa"/>
    <w:link w:val="Cmsor3"/>
    <w:rsid w:val="00A00EB6"/>
    <w:rPr>
      <w:rFonts w:ascii="Arial" w:eastAsia="Times New Roman" w:hAnsi="Arial" w:cs="Arial"/>
      <w:b/>
      <w:sz w:val="24"/>
      <w:szCs w:val="24"/>
      <w:lang w:val="x-none" w:eastAsia="x-none"/>
    </w:rPr>
  </w:style>
  <w:style w:type="character" w:customStyle="1" w:styleId="Cmsor4Char">
    <w:name w:val="Címsor 4 Char"/>
    <w:aliases w:val="Char Char,h4 Char"/>
    <w:basedOn w:val="Bekezdsalapbettpusa"/>
    <w:link w:val="Cmsor4"/>
    <w:rsid w:val="005A76C2"/>
    <w:rPr>
      <w:rFonts w:ascii="Arial" w:eastAsia="Times New Roman" w:hAnsi="Arial" w:cs="Arial"/>
      <w:b/>
      <w:color w:val="0070C0"/>
      <w:sz w:val="23"/>
      <w:szCs w:val="20"/>
      <w:lang w:eastAsia="hu-HU"/>
    </w:rPr>
  </w:style>
  <w:style w:type="character" w:customStyle="1" w:styleId="Cmsor5Char">
    <w:name w:val="Címsor 5 Char"/>
    <w:aliases w:val="L5 Char"/>
    <w:basedOn w:val="Bekezdsalapbettpusa"/>
    <w:link w:val="Cmsor5"/>
    <w:rsid w:val="00A00EB6"/>
    <w:rPr>
      <w:rFonts w:ascii="Arial" w:eastAsia="Times New Roman" w:hAnsi="Arial" w:cs="Times New Roman"/>
      <w:b/>
      <w:i/>
      <w:color w:val="5B9BD5" w:themeColor="accent1"/>
      <w:sz w:val="20"/>
      <w:szCs w:val="20"/>
      <w:lang w:val="x-none" w:eastAsia="x-none"/>
    </w:rPr>
  </w:style>
  <w:style w:type="character" w:customStyle="1" w:styleId="Cmsor6Char">
    <w:name w:val="Címsor 6 Char"/>
    <w:aliases w:val="h6 Char"/>
    <w:basedOn w:val="Bekezdsalapbettpusa"/>
    <w:link w:val="Cmsor6"/>
    <w:rsid w:val="00A00EB6"/>
    <w:rPr>
      <w:rFonts w:ascii="Arial" w:eastAsia="Times New Roman" w:hAnsi="Arial" w:cs="Times New Roman"/>
      <w:i/>
      <w:sz w:val="20"/>
      <w:szCs w:val="20"/>
      <w:lang w:eastAsia="hu-HU"/>
    </w:rPr>
  </w:style>
  <w:style w:type="character" w:customStyle="1" w:styleId="Cmsor7Char">
    <w:name w:val="Címsor 7 Char"/>
    <w:basedOn w:val="Bekezdsalapbettpusa"/>
    <w:link w:val="Cmsor7"/>
    <w:rsid w:val="00A00EB6"/>
    <w:rPr>
      <w:rFonts w:ascii="Arial" w:eastAsia="Times New Roman" w:hAnsi="Arial" w:cs="Times New Roman"/>
      <w:b/>
      <w:sz w:val="20"/>
      <w:szCs w:val="20"/>
      <w:lang w:eastAsia="hu-HU"/>
    </w:rPr>
  </w:style>
  <w:style w:type="character" w:customStyle="1" w:styleId="Cmsor8Char">
    <w:name w:val="Címsor 8 Char"/>
    <w:basedOn w:val="Bekezdsalapbettpusa"/>
    <w:link w:val="Cmsor8"/>
    <w:rsid w:val="00A00EB6"/>
    <w:rPr>
      <w:rFonts w:ascii="Arial" w:eastAsia="Times New Roman" w:hAnsi="Arial" w:cs="Times New Roman"/>
      <w:i/>
      <w:sz w:val="23"/>
      <w:szCs w:val="20"/>
      <w:lang w:eastAsia="hu-HU"/>
    </w:rPr>
  </w:style>
  <w:style w:type="character" w:customStyle="1" w:styleId="Cmsor9Char">
    <w:name w:val="Címsor 9 Char"/>
    <w:basedOn w:val="Bekezdsalapbettpusa"/>
    <w:link w:val="Cmsor9"/>
    <w:rsid w:val="00A00EB6"/>
    <w:rPr>
      <w:rFonts w:ascii="Arial" w:eastAsia="Times New Roman" w:hAnsi="Arial" w:cs="Times New Roman"/>
      <w:i/>
      <w:sz w:val="18"/>
      <w:szCs w:val="20"/>
      <w:lang w:eastAsia="hu-HU"/>
    </w:rPr>
  </w:style>
  <w:style w:type="character" w:customStyle="1" w:styleId="BaloghZsuzsanna">
    <w:name w:val="Balogh Zsuzsanna"/>
    <w:semiHidden/>
    <w:rsid w:val="00A00EB6"/>
    <w:rPr>
      <w:rFonts w:ascii="Arial" w:hAnsi="Arial" w:cs="Arial"/>
      <w:color w:val="000080"/>
      <w:sz w:val="20"/>
      <w:szCs w:val="20"/>
    </w:rPr>
  </w:style>
  <w:style w:type="paragraph" w:styleId="Buborkszveg">
    <w:name w:val="Balloon Text"/>
    <w:basedOn w:val="Norml"/>
    <w:link w:val="BuborkszvegChar"/>
    <w:semiHidden/>
    <w:rsid w:val="00A00EB6"/>
    <w:pPr>
      <w:spacing w:after="0" w:line="270" w:lineRule="atLeast"/>
    </w:pPr>
    <w:rPr>
      <w:rFonts w:ascii="Tahoma" w:eastAsia="Times New Roman" w:hAnsi="Tahoma" w:cs="Times New Roman"/>
      <w:sz w:val="16"/>
      <w:szCs w:val="16"/>
      <w:lang w:val="x-none" w:eastAsia="x-none"/>
    </w:rPr>
  </w:style>
  <w:style w:type="character" w:customStyle="1" w:styleId="BuborkszvegChar">
    <w:name w:val="Buborékszöveg Char"/>
    <w:basedOn w:val="Bekezdsalapbettpusa"/>
    <w:link w:val="Buborkszveg"/>
    <w:semiHidden/>
    <w:rsid w:val="00A00EB6"/>
    <w:rPr>
      <w:rFonts w:ascii="Tahoma" w:eastAsia="Times New Roman" w:hAnsi="Tahoma" w:cs="Times New Roman"/>
      <w:sz w:val="16"/>
      <w:szCs w:val="16"/>
      <w:lang w:val="x-none" w:eastAsia="x-none"/>
    </w:rPr>
  </w:style>
  <w:style w:type="paragraph" w:customStyle="1" w:styleId="Char1">
    <w:name w:val="Char1"/>
    <w:basedOn w:val="Norml"/>
    <w:rsid w:val="00A00EB6"/>
    <w:pPr>
      <w:spacing w:after="160" w:line="240" w:lineRule="exact"/>
      <w:jc w:val="left"/>
    </w:pPr>
    <w:rPr>
      <w:rFonts w:ascii="Tahoma" w:eastAsia="Times New Roman" w:hAnsi="Tahoma" w:cs="Times New Roman"/>
      <w:szCs w:val="20"/>
      <w:lang w:val="en-US"/>
    </w:rPr>
  </w:style>
  <w:style w:type="paragraph" w:customStyle="1" w:styleId="CM1">
    <w:name w:val="CM1"/>
    <w:basedOn w:val="Norml"/>
    <w:next w:val="Norml"/>
    <w:uiPriority w:val="99"/>
    <w:rsid w:val="00A00EB6"/>
    <w:pPr>
      <w:autoSpaceDE w:val="0"/>
      <w:autoSpaceDN w:val="0"/>
      <w:adjustRightInd w:val="0"/>
      <w:spacing w:after="0"/>
      <w:jc w:val="left"/>
    </w:pPr>
    <w:rPr>
      <w:rFonts w:ascii="EUAlbertina" w:hAnsi="EUAlbertina"/>
      <w:sz w:val="24"/>
      <w:szCs w:val="24"/>
    </w:rPr>
  </w:style>
  <w:style w:type="paragraph" w:customStyle="1" w:styleId="CM3">
    <w:name w:val="CM3"/>
    <w:basedOn w:val="Norml"/>
    <w:next w:val="Norml"/>
    <w:uiPriority w:val="99"/>
    <w:rsid w:val="00A00EB6"/>
    <w:pPr>
      <w:autoSpaceDE w:val="0"/>
      <w:autoSpaceDN w:val="0"/>
      <w:adjustRightInd w:val="0"/>
      <w:spacing w:after="0"/>
      <w:jc w:val="left"/>
    </w:pPr>
    <w:rPr>
      <w:rFonts w:ascii="EUAlbertina" w:hAnsi="EUAlbertina"/>
      <w:sz w:val="24"/>
      <w:szCs w:val="24"/>
    </w:rPr>
  </w:style>
  <w:style w:type="numbering" w:customStyle="1" w:styleId="CowiNumberList">
    <w:name w:val="CowiNumberList"/>
    <w:basedOn w:val="Nemlista"/>
    <w:rsid w:val="00A00EB6"/>
    <w:pPr>
      <w:numPr>
        <w:numId w:val="151"/>
      </w:numPr>
    </w:pPr>
  </w:style>
  <w:style w:type="paragraph" w:customStyle="1" w:styleId="Default">
    <w:name w:val="Default"/>
    <w:rsid w:val="00A00EB6"/>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lfej">
    <w:name w:val="header"/>
    <w:basedOn w:val="Norml"/>
    <w:link w:val="lfejChar"/>
    <w:unhideWhenUsed/>
    <w:rsid w:val="00A00EB6"/>
    <w:pPr>
      <w:tabs>
        <w:tab w:val="center" w:pos="4536"/>
        <w:tab w:val="right" w:pos="9072"/>
      </w:tabs>
      <w:spacing w:after="0"/>
    </w:pPr>
  </w:style>
  <w:style w:type="character" w:customStyle="1" w:styleId="lfejChar">
    <w:name w:val="Élőfej Char"/>
    <w:basedOn w:val="Bekezdsalapbettpusa"/>
    <w:link w:val="lfej"/>
    <w:rsid w:val="00A00EB6"/>
    <w:rPr>
      <w:rFonts w:ascii="Arial" w:hAnsi="Arial"/>
      <w:sz w:val="20"/>
    </w:rPr>
  </w:style>
  <w:style w:type="paragraph" w:styleId="llb">
    <w:name w:val="footer"/>
    <w:basedOn w:val="Norml"/>
    <w:link w:val="llbChar"/>
    <w:uiPriority w:val="99"/>
    <w:unhideWhenUsed/>
    <w:qFormat/>
    <w:rsid w:val="00A00EB6"/>
    <w:pPr>
      <w:tabs>
        <w:tab w:val="center" w:pos="4536"/>
        <w:tab w:val="right" w:pos="9072"/>
      </w:tabs>
      <w:spacing w:after="0"/>
    </w:pPr>
  </w:style>
  <w:style w:type="character" w:customStyle="1" w:styleId="llbChar">
    <w:name w:val="Élőláb Char"/>
    <w:basedOn w:val="Bekezdsalapbettpusa"/>
    <w:link w:val="llb"/>
    <w:uiPriority w:val="99"/>
    <w:rsid w:val="00A00EB6"/>
    <w:rPr>
      <w:rFonts w:ascii="Arial" w:hAnsi="Arial"/>
      <w:sz w:val="20"/>
    </w:rPr>
  </w:style>
  <w:style w:type="character" w:styleId="Erskiemels">
    <w:name w:val="Intense Emphasis"/>
    <w:basedOn w:val="Bekezdsalapbettpusa"/>
    <w:uiPriority w:val="21"/>
    <w:qFormat/>
    <w:rsid w:val="00A00EB6"/>
    <w:rPr>
      <w:i/>
      <w:iCs/>
      <w:color w:val="5B9BD5" w:themeColor="accent1"/>
    </w:rPr>
  </w:style>
  <w:style w:type="paragraph" w:styleId="Felsorols">
    <w:name w:val="List Bullet"/>
    <w:basedOn w:val="Norml"/>
    <w:rsid w:val="00A00EB6"/>
    <w:pPr>
      <w:numPr>
        <w:numId w:val="153"/>
      </w:numPr>
      <w:spacing w:after="270" w:line="270" w:lineRule="atLeast"/>
    </w:pPr>
    <w:rPr>
      <w:rFonts w:eastAsia="Times New Roman" w:cs="Times New Roman"/>
      <w:sz w:val="23"/>
      <w:szCs w:val="20"/>
      <w:lang w:eastAsia="hu-HU"/>
    </w:rPr>
  </w:style>
  <w:style w:type="paragraph" w:customStyle="1" w:styleId="Felsorols2">
    <w:name w:val="Felsorolás2"/>
    <w:basedOn w:val="Felsorols"/>
    <w:link w:val="Felsorols2Char"/>
    <w:uiPriority w:val="7"/>
    <w:qFormat/>
    <w:rsid w:val="00A00EB6"/>
    <w:pPr>
      <w:numPr>
        <w:numId w:val="0"/>
      </w:numPr>
      <w:spacing w:after="120" w:line="276" w:lineRule="auto"/>
    </w:pPr>
    <w:rPr>
      <w:rFonts w:ascii="Arial Narrow" w:eastAsiaTheme="minorHAnsi" w:hAnsi="Arial Narrow" w:cstheme="minorBidi"/>
      <w:sz w:val="22"/>
      <w:szCs w:val="23"/>
      <w:lang w:eastAsia="da-DK"/>
    </w:rPr>
  </w:style>
  <w:style w:type="character" w:customStyle="1" w:styleId="Felsorols2Char">
    <w:name w:val="Felsorolás2 Char"/>
    <w:basedOn w:val="Bekezdsalapbettpusa"/>
    <w:link w:val="Felsorols2"/>
    <w:uiPriority w:val="7"/>
    <w:locked/>
    <w:rsid w:val="00A00EB6"/>
    <w:rPr>
      <w:rFonts w:ascii="Arial Narrow" w:hAnsi="Arial Narrow"/>
      <w:szCs w:val="23"/>
      <w:lang w:eastAsia="da-DK"/>
    </w:rPr>
  </w:style>
  <w:style w:type="paragraph" w:customStyle="1" w:styleId="felsorols20">
    <w:name w:val="felsorolás2"/>
    <w:basedOn w:val="Norml"/>
    <w:uiPriority w:val="99"/>
    <w:rsid w:val="00A00EB6"/>
    <w:pPr>
      <w:tabs>
        <w:tab w:val="num" w:pos="1440"/>
      </w:tabs>
      <w:spacing w:before="120" w:after="0" w:line="276" w:lineRule="auto"/>
      <w:ind w:left="1440" w:hanging="306"/>
    </w:pPr>
    <w:rPr>
      <w:rFonts w:eastAsia="Calibri" w:cs="Calibri"/>
      <w:color w:val="000000"/>
      <w:szCs w:val="20"/>
    </w:rPr>
  </w:style>
  <w:style w:type="character" w:styleId="Finomkiemels">
    <w:name w:val="Subtle Emphasis"/>
    <w:basedOn w:val="Bekezdsalapbettpusa"/>
    <w:uiPriority w:val="19"/>
    <w:qFormat/>
    <w:rsid w:val="00A00EB6"/>
    <w:rPr>
      <w:i/>
      <w:iCs/>
      <w:color w:val="404040" w:themeColor="text1" w:themeTint="BF"/>
    </w:rPr>
  </w:style>
  <w:style w:type="paragraph" w:styleId="Vltozat">
    <w:name w:val="Revision"/>
    <w:hidden/>
    <w:uiPriority w:val="99"/>
    <w:semiHidden/>
    <w:rsid w:val="00322396"/>
    <w:pPr>
      <w:spacing w:after="0" w:line="240" w:lineRule="auto"/>
    </w:pPr>
    <w:rPr>
      <w:rFonts w:ascii="Times New Roman" w:eastAsia="Times New Roman" w:hAnsi="Times New Roman" w:cs="Times New Roman"/>
      <w:sz w:val="23"/>
      <w:szCs w:val="20"/>
      <w:lang w:eastAsia="hu-HU"/>
    </w:rPr>
  </w:style>
  <w:style w:type="paragraph" w:customStyle="1" w:styleId="FrontPage1">
    <w:name w:val="FrontPage1"/>
    <w:basedOn w:val="Norml"/>
    <w:next w:val="Norml"/>
    <w:rsid w:val="00A00EB6"/>
    <w:pPr>
      <w:suppressAutoHyphens/>
      <w:spacing w:line="320" w:lineRule="exact"/>
    </w:pPr>
    <w:rPr>
      <w:rFonts w:eastAsia="Times New Roman" w:cs="Times New Roman"/>
      <w:sz w:val="28"/>
      <w:szCs w:val="28"/>
      <w:lang w:eastAsia="hu-HU"/>
    </w:rPr>
  </w:style>
  <w:style w:type="character" w:styleId="Helyrzszveg">
    <w:name w:val="Placeholder Text"/>
    <w:basedOn w:val="Bekezdsalapbettpusa"/>
    <w:uiPriority w:val="99"/>
    <w:semiHidden/>
    <w:rsid w:val="00A00EB6"/>
    <w:rPr>
      <w:color w:val="808080"/>
    </w:rPr>
  </w:style>
  <w:style w:type="character" w:customStyle="1" w:styleId="highlight">
    <w:name w:val="highlight"/>
    <w:basedOn w:val="Bekezdsalapbettpusa"/>
    <w:rsid w:val="00A00EB6"/>
  </w:style>
  <w:style w:type="character" w:styleId="Hiperhivatkozs">
    <w:name w:val="Hyperlink"/>
    <w:basedOn w:val="Bekezdsalapbettpusa"/>
    <w:uiPriority w:val="99"/>
    <w:unhideWhenUsed/>
    <w:rsid w:val="00A00EB6"/>
    <w:rPr>
      <w:color w:val="0563C1" w:themeColor="hyperlink"/>
      <w:u w:val="single"/>
    </w:rPr>
  </w:style>
  <w:style w:type="character" w:styleId="Jegyzethivatkozs">
    <w:name w:val="annotation reference"/>
    <w:uiPriority w:val="99"/>
    <w:semiHidden/>
    <w:rsid w:val="00A00EB6"/>
    <w:rPr>
      <w:sz w:val="16"/>
      <w:szCs w:val="16"/>
    </w:rPr>
  </w:style>
  <w:style w:type="paragraph" w:styleId="Jegyzetszveg">
    <w:name w:val="annotation text"/>
    <w:basedOn w:val="Norml"/>
    <w:link w:val="JegyzetszvegChar"/>
    <w:uiPriority w:val="99"/>
    <w:rsid w:val="00A00EB6"/>
    <w:pPr>
      <w:spacing w:after="0" w:line="270" w:lineRule="atLeast"/>
    </w:pPr>
    <w:rPr>
      <w:rFonts w:ascii="Times New Roman" w:eastAsia="Times New Roman" w:hAnsi="Times New Roman" w:cs="Times New Roman"/>
      <w:szCs w:val="20"/>
      <w:lang w:eastAsia="hu-HU"/>
    </w:rPr>
  </w:style>
  <w:style w:type="character" w:customStyle="1" w:styleId="JegyzetszvegChar">
    <w:name w:val="Jegyzetszöveg Char"/>
    <w:basedOn w:val="Bekezdsalapbettpusa"/>
    <w:link w:val="Jegyzetszveg"/>
    <w:uiPriority w:val="99"/>
    <w:rsid w:val="00A00EB6"/>
    <w:rPr>
      <w:rFonts w:ascii="Times New Roman" w:eastAsia="Times New Roman" w:hAnsi="Times New Roman" w:cs="Times New Roman"/>
      <w:sz w:val="20"/>
      <w:szCs w:val="20"/>
      <w:lang w:eastAsia="hu-HU"/>
    </w:rPr>
  </w:style>
  <w:style w:type="paragraph" w:styleId="Kpalrs">
    <w:name w:val="caption"/>
    <w:basedOn w:val="Norml"/>
    <w:next w:val="Norml"/>
    <w:link w:val="KpalrsChar"/>
    <w:unhideWhenUsed/>
    <w:qFormat/>
    <w:rsid w:val="00A00EB6"/>
    <w:pPr>
      <w:spacing w:after="200"/>
    </w:pPr>
    <w:rPr>
      <w:i/>
      <w:iCs/>
      <w:color w:val="44546A" w:themeColor="text2"/>
      <w:sz w:val="18"/>
      <w:szCs w:val="18"/>
    </w:rPr>
  </w:style>
  <w:style w:type="character" w:customStyle="1" w:styleId="KpalrsChar">
    <w:name w:val="Képaláírás Char"/>
    <w:link w:val="Kpalrs"/>
    <w:rsid w:val="00A00EB6"/>
    <w:rPr>
      <w:rFonts w:ascii="Arial" w:hAnsi="Arial"/>
      <w:i/>
      <w:iCs/>
      <w:color w:val="44546A" w:themeColor="text2"/>
      <w:sz w:val="18"/>
      <w:szCs w:val="18"/>
    </w:rPr>
  </w:style>
  <w:style w:type="character" w:styleId="Kiemels">
    <w:name w:val="Emphasis"/>
    <w:basedOn w:val="Bekezdsalapbettpusa"/>
    <w:uiPriority w:val="20"/>
    <w:qFormat/>
    <w:rsid w:val="00A00EB6"/>
    <w:rPr>
      <w:i/>
      <w:iCs/>
    </w:rPr>
  </w:style>
  <w:style w:type="character" w:customStyle="1" w:styleId="KondorSzilva">
    <w:name w:val="Kondor Szilva"/>
    <w:semiHidden/>
    <w:rsid w:val="00A00EB6"/>
    <w:rPr>
      <w:rFonts w:ascii="Arial" w:hAnsi="Arial" w:cs="Arial"/>
      <w:color w:val="auto"/>
      <w:sz w:val="20"/>
      <w:szCs w:val="20"/>
    </w:rPr>
  </w:style>
  <w:style w:type="character" w:styleId="Lbjegyzet-hivatkozs">
    <w:name w:val="footnote reference"/>
    <w:semiHidden/>
    <w:rsid w:val="00A00EB6"/>
    <w:rPr>
      <w:vertAlign w:val="superscript"/>
    </w:rPr>
  </w:style>
  <w:style w:type="paragraph" w:styleId="Lbjegyzetszveg">
    <w:name w:val="footnote text"/>
    <w:basedOn w:val="Norml"/>
    <w:link w:val="LbjegyzetszvegChar"/>
    <w:qFormat/>
    <w:rsid w:val="00A65171"/>
    <w:pPr>
      <w:spacing w:after="0" w:line="270" w:lineRule="atLeast"/>
    </w:pPr>
    <w:rPr>
      <w:rFonts w:eastAsia="Times New Roman" w:cs="Times New Roman"/>
      <w:sz w:val="18"/>
      <w:szCs w:val="20"/>
      <w:lang w:eastAsia="hu-HU"/>
    </w:rPr>
  </w:style>
  <w:style w:type="character" w:customStyle="1" w:styleId="LbjegyzetszvegChar">
    <w:name w:val="Lábjegyzetszöveg Char"/>
    <w:basedOn w:val="Bekezdsalapbettpusa"/>
    <w:link w:val="Lbjegyzetszveg"/>
    <w:rsid w:val="00A65171"/>
    <w:rPr>
      <w:rFonts w:ascii="Arial" w:eastAsia="Times New Roman" w:hAnsi="Arial" w:cs="Times New Roman"/>
      <w:sz w:val="18"/>
      <w:szCs w:val="20"/>
      <w:lang w:eastAsia="hu-HU"/>
    </w:rPr>
  </w:style>
  <w:style w:type="character" w:customStyle="1" w:styleId="LbjegyzetszvegChar1">
    <w:name w:val="Lábjegyzetszöveg Char1"/>
    <w:semiHidden/>
    <w:rsid w:val="00A00EB6"/>
    <w:rPr>
      <w:lang w:val="hu-HU" w:eastAsia="hu-HU" w:bidi="ar-SA"/>
    </w:rPr>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A00EB6"/>
    <w:pPr>
      <w:numPr>
        <w:numId w:val="155"/>
      </w:numPr>
    </w:p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basedOn w:val="Bekezdsalapbettpusa"/>
    <w:link w:val="Listaszerbekezds"/>
    <w:uiPriority w:val="34"/>
    <w:locked/>
    <w:rsid w:val="00A00EB6"/>
    <w:rPr>
      <w:rFonts w:ascii="Arial" w:hAnsi="Arial"/>
      <w:sz w:val="20"/>
    </w:rPr>
  </w:style>
  <w:style w:type="character" w:styleId="Mrltotthiperhivatkozs">
    <w:name w:val="FollowedHyperlink"/>
    <w:basedOn w:val="Bekezdsalapbettpusa"/>
    <w:semiHidden/>
    <w:unhideWhenUsed/>
    <w:rsid w:val="00A00EB6"/>
    <w:rPr>
      <w:color w:val="954F72" w:themeColor="followedHyperlink"/>
      <w:u w:val="single"/>
    </w:rPr>
  </w:style>
  <w:style w:type="paragraph" w:styleId="Megjegyzstrgya">
    <w:name w:val="annotation subject"/>
    <w:basedOn w:val="Jegyzetszveg"/>
    <w:next w:val="Jegyzetszveg"/>
    <w:link w:val="MegjegyzstrgyaChar"/>
    <w:semiHidden/>
    <w:rsid w:val="00A00EB6"/>
    <w:rPr>
      <w:b/>
      <w:bCs/>
      <w:lang w:val="x-none" w:eastAsia="x-none"/>
    </w:rPr>
  </w:style>
  <w:style w:type="character" w:customStyle="1" w:styleId="MegjegyzstrgyaChar">
    <w:name w:val="Megjegyzés tárgya Char"/>
    <w:basedOn w:val="JegyzetszvegChar"/>
    <w:link w:val="Megjegyzstrgya"/>
    <w:semiHidden/>
    <w:rsid w:val="00A00EB6"/>
    <w:rPr>
      <w:rFonts w:ascii="Times New Roman" w:eastAsia="Times New Roman" w:hAnsi="Times New Roman" w:cs="Times New Roman"/>
      <w:b/>
      <w:bCs/>
      <w:sz w:val="20"/>
      <w:szCs w:val="20"/>
      <w:lang w:val="x-none" w:eastAsia="x-none"/>
    </w:rPr>
  </w:style>
  <w:style w:type="paragraph" w:styleId="NormlWeb">
    <w:name w:val="Normal (Web)"/>
    <w:basedOn w:val="Norml"/>
    <w:uiPriority w:val="99"/>
    <w:unhideWhenUsed/>
    <w:rsid w:val="00A00EB6"/>
    <w:pPr>
      <w:spacing w:before="100" w:beforeAutospacing="1" w:after="100" w:afterAutospacing="1"/>
      <w:jc w:val="left"/>
    </w:pPr>
    <w:rPr>
      <w:rFonts w:ascii="Times New Roman" w:eastAsiaTheme="minorEastAsia" w:hAnsi="Times New Roman" w:cs="Times New Roman"/>
      <w:sz w:val="24"/>
      <w:szCs w:val="24"/>
      <w:lang w:eastAsia="hu-HU"/>
    </w:rPr>
  </w:style>
  <w:style w:type="paragraph" w:customStyle="1" w:styleId="Norml1">
    <w:name w:val="Normál1"/>
    <w:basedOn w:val="Norml"/>
    <w:link w:val="Norml1Char"/>
    <w:uiPriority w:val="99"/>
    <w:rsid w:val="00A00EB6"/>
    <w:pPr>
      <w:spacing w:before="60" w:line="280" w:lineRule="atLeast"/>
    </w:pPr>
    <w:rPr>
      <w:rFonts w:ascii="Franklin Gothic Book" w:eastAsia="Times New Roman" w:hAnsi="Franklin Gothic Book" w:cs="Times New Roman"/>
      <w:szCs w:val="20"/>
      <w:lang w:eastAsia="hu-HU"/>
    </w:rPr>
  </w:style>
  <w:style w:type="character" w:customStyle="1" w:styleId="Norml1Char">
    <w:name w:val="Normál1 Char"/>
    <w:link w:val="Norml1"/>
    <w:uiPriority w:val="99"/>
    <w:locked/>
    <w:rsid w:val="00A00EB6"/>
    <w:rPr>
      <w:rFonts w:ascii="Franklin Gothic Book" w:eastAsia="Times New Roman" w:hAnsi="Franklin Gothic Book" w:cs="Times New Roman"/>
      <w:sz w:val="20"/>
      <w:szCs w:val="20"/>
      <w:lang w:eastAsia="hu-HU"/>
    </w:rPr>
  </w:style>
  <w:style w:type="paragraph" w:customStyle="1" w:styleId="OkeanmagyarazatChar">
    <w:name w:val="Okean_magyarazat Char"/>
    <w:basedOn w:val="Norml"/>
    <w:rsid w:val="00A00EB6"/>
    <w:pPr>
      <w:keepNext/>
      <w:pBdr>
        <w:left w:val="single" w:sz="4" w:space="4" w:color="auto"/>
      </w:pBdr>
      <w:shd w:val="clear" w:color="auto" w:fill="FFFFFF"/>
      <w:spacing w:before="60" w:after="240" w:line="280" w:lineRule="exact"/>
      <w:ind w:left="284"/>
    </w:pPr>
    <w:rPr>
      <w:rFonts w:eastAsia="Times New Roman" w:cs="Times New Roman"/>
      <w:szCs w:val="20"/>
      <w:lang w:eastAsia="hu-HU"/>
    </w:rPr>
  </w:style>
  <w:style w:type="paragraph" w:customStyle="1" w:styleId="Okeanmagyarazatbekezdes">
    <w:name w:val="Okean_magyarazat_bekezdes"/>
    <w:basedOn w:val="OkeanmagyarazatChar"/>
    <w:rsid w:val="00A00EB6"/>
    <w:pPr>
      <w:tabs>
        <w:tab w:val="num" w:pos="360"/>
      </w:tabs>
      <w:spacing w:before="120"/>
    </w:pPr>
  </w:style>
  <w:style w:type="paragraph" w:customStyle="1" w:styleId="OkeanmagyarazatbekezdesCharChar1">
    <w:name w:val="Okean_magyarazat_bekezdes Char Char1"/>
    <w:basedOn w:val="Norml"/>
    <w:rsid w:val="00A00EB6"/>
    <w:pPr>
      <w:keepNext/>
      <w:numPr>
        <w:numId w:val="156"/>
      </w:numPr>
      <w:pBdr>
        <w:left w:val="single" w:sz="4" w:space="4" w:color="auto"/>
      </w:pBdr>
      <w:shd w:val="clear" w:color="auto" w:fill="FFFFFF"/>
      <w:spacing w:before="120" w:after="240" w:line="280" w:lineRule="exact"/>
    </w:pPr>
    <w:rPr>
      <w:rFonts w:eastAsia="Times New Roman" w:cs="Times New Roman"/>
      <w:szCs w:val="20"/>
      <w:lang w:eastAsia="hu-HU"/>
    </w:rPr>
  </w:style>
  <w:style w:type="table" w:styleId="Rcsostblzat">
    <w:name w:val="Table Grid"/>
    <w:basedOn w:val="Normltblzat"/>
    <w:uiPriority w:val="39"/>
    <w:rsid w:val="00A00EB6"/>
    <w:pPr>
      <w:spacing w:after="0" w:line="270" w:lineRule="atLeast"/>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1">
    <w:name w:val="Table Grid 1"/>
    <w:basedOn w:val="Normltblzat"/>
    <w:rsid w:val="00A00EB6"/>
    <w:pPr>
      <w:spacing w:after="0" w:line="270" w:lineRule="atLeast"/>
    </w:pPr>
    <w:rPr>
      <w:rFonts w:ascii="Times New Roman" w:eastAsia="Times New Roman" w:hAnsi="Times New Roman" w:cs="Times New Roman"/>
      <w:sz w:val="20"/>
      <w:szCs w:val="20"/>
      <w:lang w:eastAsia="hu-H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Szvegtrzs">
    <w:name w:val="Body Text"/>
    <w:basedOn w:val="Norml"/>
    <w:link w:val="SzvegtrzsChar"/>
    <w:unhideWhenUsed/>
    <w:rsid w:val="00A00EB6"/>
  </w:style>
  <w:style w:type="character" w:customStyle="1" w:styleId="SzvegtrzsChar">
    <w:name w:val="Szövegtörzs Char"/>
    <w:basedOn w:val="Bekezdsalapbettpusa"/>
    <w:link w:val="Szvegtrzs"/>
    <w:rsid w:val="00A00EB6"/>
    <w:rPr>
      <w:rFonts w:ascii="Arial" w:hAnsi="Arial"/>
      <w:sz w:val="20"/>
    </w:rPr>
  </w:style>
  <w:style w:type="paragraph" w:styleId="Szmozottlista">
    <w:name w:val="List Number"/>
    <w:basedOn w:val="Szvegtrzs"/>
    <w:uiPriority w:val="4"/>
    <w:rsid w:val="00A00EB6"/>
    <w:pPr>
      <w:numPr>
        <w:numId w:val="160"/>
      </w:numPr>
      <w:spacing w:line="276" w:lineRule="auto"/>
    </w:pPr>
    <w:rPr>
      <w:rFonts w:ascii="Arial Narrow" w:eastAsia="Times New Roman" w:hAnsi="Arial Narrow" w:cs="Times New Roman"/>
      <w:sz w:val="22"/>
      <w:szCs w:val="23"/>
      <w:lang w:eastAsia="da-DK"/>
    </w:rPr>
  </w:style>
  <w:style w:type="paragraph" w:styleId="Szmozottlista4">
    <w:name w:val="List Number 4"/>
    <w:basedOn w:val="Norml"/>
    <w:uiPriority w:val="4"/>
    <w:semiHidden/>
    <w:unhideWhenUsed/>
    <w:rsid w:val="00A00EB6"/>
    <w:pPr>
      <w:numPr>
        <w:ilvl w:val="3"/>
        <w:numId w:val="160"/>
      </w:numPr>
      <w:spacing w:after="0" w:line="280" w:lineRule="atLeast"/>
      <w:jc w:val="left"/>
    </w:pPr>
    <w:rPr>
      <w:rFonts w:ascii="Times New Roman" w:eastAsia="Times New Roman" w:hAnsi="Times New Roman" w:cs="Times New Roman"/>
      <w:sz w:val="22"/>
      <w:szCs w:val="23"/>
      <w:lang w:eastAsia="da-DK"/>
    </w:rPr>
  </w:style>
  <w:style w:type="paragraph" w:customStyle="1" w:styleId="Tblzat">
    <w:name w:val="Táblázat"/>
    <w:basedOn w:val="Norml"/>
    <w:rsid w:val="00A00EB6"/>
    <w:pPr>
      <w:jc w:val="left"/>
    </w:pPr>
    <w:rPr>
      <w:rFonts w:eastAsia="Times New Roman" w:cs="Times New Roman"/>
      <w:i/>
      <w:szCs w:val="24"/>
      <w:lang w:eastAsia="hu-HU"/>
    </w:rPr>
  </w:style>
  <w:style w:type="paragraph" w:styleId="TJ1">
    <w:name w:val="toc 1"/>
    <w:basedOn w:val="Norml"/>
    <w:next w:val="Norml"/>
    <w:autoRedefine/>
    <w:uiPriority w:val="39"/>
    <w:unhideWhenUsed/>
    <w:rsid w:val="00A00EB6"/>
    <w:pPr>
      <w:tabs>
        <w:tab w:val="right" w:leader="dot" w:pos="9062"/>
      </w:tabs>
      <w:spacing w:before="120"/>
      <w:jc w:val="left"/>
    </w:pPr>
    <w:rPr>
      <w:b/>
      <w:bCs/>
      <w:caps/>
      <w:szCs w:val="20"/>
    </w:rPr>
  </w:style>
  <w:style w:type="paragraph" w:styleId="TJ2">
    <w:name w:val="toc 2"/>
    <w:basedOn w:val="Norml"/>
    <w:next w:val="Norml"/>
    <w:autoRedefine/>
    <w:uiPriority w:val="39"/>
    <w:unhideWhenUsed/>
    <w:rsid w:val="00A00EB6"/>
    <w:pPr>
      <w:spacing w:after="0"/>
      <w:ind w:left="220"/>
      <w:jc w:val="left"/>
    </w:pPr>
    <w:rPr>
      <w:smallCaps/>
      <w:szCs w:val="20"/>
    </w:rPr>
  </w:style>
  <w:style w:type="paragraph" w:styleId="TJ3">
    <w:name w:val="toc 3"/>
    <w:basedOn w:val="Norml"/>
    <w:next w:val="Norml"/>
    <w:autoRedefine/>
    <w:uiPriority w:val="39"/>
    <w:unhideWhenUsed/>
    <w:rsid w:val="00A00EB6"/>
    <w:pPr>
      <w:spacing w:after="0"/>
      <w:ind w:left="440"/>
      <w:jc w:val="left"/>
    </w:pPr>
    <w:rPr>
      <w:i/>
      <w:iCs/>
      <w:szCs w:val="20"/>
    </w:rPr>
  </w:style>
  <w:style w:type="paragraph" w:styleId="TJ4">
    <w:name w:val="toc 4"/>
    <w:basedOn w:val="Norml"/>
    <w:next w:val="Norml"/>
    <w:autoRedefine/>
    <w:uiPriority w:val="39"/>
    <w:unhideWhenUsed/>
    <w:rsid w:val="00A00EB6"/>
    <w:pPr>
      <w:spacing w:after="0"/>
      <w:ind w:left="660"/>
      <w:jc w:val="left"/>
    </w:pPr>
    <w:rPr>
      <w:sz w:val="18"/>
      <w:szCs w:val="18"/>
    </w:rPr>
  </w:style>
  <w:style w:type="paragraph" w:styleId="TJ5">
    <w:name w:val="toc 5"/>
    <w:basedOn w:val="Norml"/>
    <w:next w:val="Norml"/>
    <w:autoRedefine/>
    <w:uiPriority w:val="39"/>
    <w:unhideWhenUsed/>
    <w:rsid w:val="00A00EB6"/>
    <w:pPr>
      <w:spacing w:after="0"/>
      <w:ind w:left="880"/>
      <w:jc w:val="left"/>
    </w:pPr>
    <w:rPr>
      <w:sz w:val="18"/>
      <w:szCs w:val="18"/>
    </w:rPr>
  </w:style>
  <w:style w:type="paragraph" w:styleId="TJ6">
    <w:name w:val="toc 6"/>
    <w:basedOn w:val="Norml"/>
    <w:next w:val="Norml"/>
    <w:autoRedefine/>
    <w:uiPriority w:val="39"/>
    <w:unhideWhenUsed/>
    <w:rsid w:val="00A00EB6"/>
    <w:pPr>
      <w:spacing w:after="0"/>
      <w:ind w:left="1100"/>
      <w:jc w:val="left"/>
    </w:pPr>
    <w:rPr>
      <w:sz w:val="18"/>
      <w:szCs w:val="18"/>
    </w:rPr>
  </w:style>
  <w:style w:type="paragraph" w:styleId="TJ7">
    <w:name w:val="toc 7"/>
    <w:basedOn w:val="Norml"/>
    <w:next w:val="Norml"/>
    <w:autoRedefine/>
    <w:uiPriority w:val="39"/>
    <w:unhideWhenUsed/>
    <w:rsid w:val="00A00EB6"/>
    <w:pPr>
      <w:spacing w:after="0"/>
      <w:ind w:left="1320"/>
      <w:jc w:val="left"/>
    </w:pPr>
    <w:rPr>
      <w:sz w:val="18"/>
      <w:szCs w:val="18"/>
    </w:rPr>
  </w:style>
  <w:style w:type="paragraph" w:styleId="TJ8">
    <w:name w:val="toc 8"/>
    <w:basedOn w:val="Norml"/>
    <w:next w:val="Norml"/>
    <w:autoRedefine/>
    <w:uiPriority w:val="39"/>
    <w:unhideWhenUsed/>
    <w:rsid w:val="00A00EB6"/>
    <w:pPr>
      <w:spacing w:after="0"/>
      <w:ind w:left="1540"/>
      <w:jc w:val="left"/>
    </w:pPr>
    <w:rPr>
      <w:sz w:val="18"/>
      <w:szCs w:val="18"/>
    </w:rPr>
  </w:style>
  <w:style w:type="paragraph" w:styleId="TJ9">
    <w:name w:val="toc 9"/>
    <w:basedOn w:val="Norml"/>
    <w:next w:val="Norml"/>
    <w:autoRedefine/>
    <w:uiPriority w:val="39"/>
    <w:unhideWhenUsed/>
    <w:rsid w:val="00A00EB6"/>
    <w:pPr>
      <w:spacing w:after="0"/>
      <w:ind w:left="1760"/>
      <w:jc w:val="left"/>
    </w:pPr>
    <w:rPr>
      <w:sz w:val="18"/>
      <w:szCs w:val="18"/>
    </w:rPr>
  </w:style>
  <w:style w:type="paragraph" w:customStyle="1" w:styleId="Char">
    <w:name w:val="Char"/>
    <w:basedOn w:val="Norml"/>
    <w:rsid w:val="00CC4018"/>
    <w:pPr>
      <w:spacing w:after="160" w:line="240" w:lineRule="exact"/>
      <w:jc w:val="left"/>
    </w:pPr>
    <w:rPr>
      <w:rFonts w:ascii="Verdana" w:eastAsia="Times New Roman" w:hAnsi="Verdan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012328">
      <w:bodyDiv w:val="1"/>
      <w:marLeft w:val="0"/>
      <w:marRight w:val="0"/>
      <w:marTop w:val="0"/>
      <w:marBottom w:val="0"/>
      <w:divBdr>
        <w:top w:val="none" w:sz="0" w:space="0" w:color="auto"/>
        <w:left w:val="none" w:sz="0" w:space="0" w:color="auto"/>
        <w:bottom w:val="none" w:sz="0" w:space="0" w:color="auto"/>
        <w:right w:val="none" w:sz="0" w:space="0" w:color="auto"/>
      </w:divBdr>
    </w:div>
    <w:div w:id="377516212">
      <w:bodyDiv w:val="1"/>
      <w:marLeft w:val="0"/>
      <w:marRight w:val="0"/>
      <w:marTop w:val="0"/>
      <w:marBottom w:val="0"/>
      <w:divBdr>
        <w:top w:val="none" w:sz="0" w:space="0" w:color="auto"/>
        <w:left w:val="none" w:sz="0" w:space="0" w:color="auto"/>
        <w:bottom w:val="none" w:sz="0" w:space="0" w:color="auto"/>
        <w:right w:val="none" w:sz="0" w:space="0" w:color="auto"/>
      </w:divBdr>
    </w:div>
    <w:div w:id="579096407">
      <w:bodyDiv w:val="1"/>
      <w:marLeft w:val="0"/>
      <w:marRight w:val="0"/>
      <w:marTop w:val="0"/>
      <w:marBottom w:val="0"/>
      <w:divBdr>
        <w:top w:val="none" w:sz="0" w:space="0" w:color="auto"/>
        <w:left w:val="none" w:sz="0" w:space="0" w:color="auto"/>
        <w:bottom w:val="none" w:sz="0" w:space="0" w:color="auto"/>
        <w:right w:val="none" w:sz="0" w:space="0" w:color="auto"/>
      </w:divBdr>
    </w:div>
    <w:div w:id="701978466">
      <w:bodyDiv w:val="1"/>
      <w:marLeft w:val="0"/>
      <w:marRight w:val="0"/>
      <w:marTop w:val="0"/>
      <w:marBottom w:val="0"/>
      <w:divBdr>
        <w:top w:val="none" w:sz="0" w:space="0" w:color="auto"/>
        <w:left w:val="none" w:sz="0" w:space="0" w:color="auto"/>
        <w:bottom w:val="none" w:sz="0" w:space="0" w:color="auto"/>
        <w:right w:val="none" w:sz="0" w:space="0" w:color="auto"/>
      </w:divBdr>
      <w:divsChild>
        <w:div w:id="1709721232">
          <w:marLeft w:val="0"/>
          <w:marRight w:val="0"/>
          <w:marTop w:val="0"/>
          <w:marBottom w:val="0"/>
          <w:divBdr>
            <w:top w:val="none" w:sz="0" w:space="0" w:color="auto"/>
            <w:left w:val="none" w:sz="0" w:space="0" w:color="auto"/>
            <w:bottom w:val="none" w:sz="0" w:space="0" w:color="auto"/>
            <w:right w:val="none" w:sz="0" w:space="0" w:color="auto"/>
          </w:divBdr>
        </w:div>
        <w:div w:id="634868250">
          <w:marLeft w:val="0"/>
          <w:marRight w:val="0"/>
          <w:marTop w:val="0"/>
          <w:marBottom w:val="0"/>
          <w:divBdr>
            <w:top w:val="none" w:sz="0" w:space="0" w:color="auto"/>
            <w:left w:val="none" w:sz="0" w:space="0" w:color="auto"/>
            <w:bottom w:val="none" w:sz="0" w:space="0" w:color="auto"/>
            <w:right w:val="none" w:sz="0" w:space="0" w:color="auto"/>
          </w:divBdr>
        </w:div>
        <w:div w:id="1137604273">
          <w:marLeft w:val="0"/>
          <w:marRight w:val="0"/>
          <w:marTop w:val="0"/>
          <w:marBottom w:val="0"/>
          <w:divBdr>
            <w:top w:val="none" w:sz="0" w:space="0" w:color="auto"/>
            <w:left w:val="none" w:sz="0" w:space="0" w:color="auto"/>
            <w:bottom w:val="none" w:sz="0" w:space="0" w:color="auto"/>
            <w:right w:val="none" w:sz="0" w:space="0" w:color="auto"/>
          </w:divBdr>
        </w:div>
        <w:div w:id="337856698">
          <w:marLeft w:val="0"/>
          <w:marRight w:val="0"/>
          <w:marTop w:val="0"/>
          <w:marBottom w:val="0"/>
          <w:divBdr>
            <w:top w:val="none" w:sz="0" w:space="0" w:color="auto"/>
            <w:left w:val="none" w:sz="0" w:space="0" w:color="auto"/>
            <w:bottom w:val="none" w:sz="0" w:space="0" w:color="auto"/>
            <w:right w:val="none" w:sz="0" w:space="0" w:color="auto"/>
          </w:divBdr>
        </w:div>
        <w:div w:id="844169678">
          <w:marLeft w:val="0"/>
          <w:marRight w:val="0"/>
          <w:marTop w:val="0"/>
          <w:marBottom w:val="0"/>
          <w:divBdr>
            <w:top w:val="none" w:sz="0" w:space="0" w:color="auto"/>
            <w:left w:val="none" w:sz="0" w:space="0" w:color="auto"/>
            <w:bottom w:val="none" w:sz="0" w:space="0" w:color="auto"/>
            <w:right w:val="none" w:sz="0" w:space="0" w:color="auto"/>
          </w:divBdr>
        </w:div>
        <w:div w:id="1006640997">
          <w:marLeft w:val="0"/>
          <w:marRight w:val="0"/>
          <w:marTop w:val="0"/>
          <w:marBottom w:val="0"/>
          <w:divBdr>
            <w:top w:val="none" w:sz="0" w:space="0" w:color="auto"/>
            <w:left w:val="none" w:sz="0" w:space="0" w:color="auto"/>
            <w:bottom w:val="none" w:sz="0" w:space="0" w:color="auto"/>
            <w:right w:val="none" w:sz="0" w:space="0" w:color="auto"/>
          </w:divBdr>
        </w:div>
        <w:div w:id="1985307290">
          <w:marLeft w:val="0"/>
          <w:marRight w:val="0"/>
          <w:marTop w:val="0"/>
          <w:marBottom w:val="0"/>
          <w:divBdr>
            <w:top w:val="none" w:sz="0" w:space="0" w:color="auto"/>
            <w:left w:val="none" w:sz="0" w:space="0" w:color="auto"/>
            <w:bottom w:val="none" w:sz="0" w:space="0" w:color="auto"/>
            <w:right w:val="none" w:sz="0" w:space="0" w:color="auto"/>
          </w:divBdr>
        </w:div>
        <w:div w:id="1469514004">
          <w:marLeft w:val="0"/>
          <w:marRight w:val="0"/>
          <w:marTop w:val="0"/>
          <w:marBottom w:val="0"/>
          <w:divBdr>
            <w:top w:val="none" w:sz="0" w:space="0" w:color="auto"/>
            <w:left w:val="none" w:sz="0" w:space="0" w:color="auto"/>
            <w:bottom w:val="none" w:sz="0" w:space="0" w:color="auto"/>
            <w:right w:val="none" w:sz="0" w:space="0" w:color="auto"/>
          </w:divBdr>
        </w:div>
        <w:div w:id="1935506147">
          <w:marLeft w:val="0"/>
          <w:marRight w:val="0"/>
          <w:marTop w:val="0"/>
          <w:marBottom w:val="0"/>
          <w:divBdr>
            <w:top w:val="none" w:sz="0" w:space="0" w:color="auto"/>
            <w:left w:val="none" w:sz="0" w:space="0" w:color="auto"/>
            <w:bottom w:val="none" w:sz="0" w:space="0" w:color="auto"/>
            <w:right w:val="none" w:sz="0" w:space="0" w:color="auto"/>
          </w:divBdr>
        </w:div>
        <w:div w:id="222376028">
          <w:marLeft w:val="0"/>
          <w:marRight w:val="0"/>
          <w:marTop w:val="0"/>
          <w:marBottom w:val="0"/>
          <w:divBdr>
            <w:top w:val="none" w:sz="0" w:space="0" w:color="auto"/>
            <w:left w:val="none" w:sz="0" w:space="0" w:color="auto"/>
            <w:bottom w:val="none" w:sz="0" w:space="0" w:color="auto"/>
            <w:right w:val="none" w:sz="0" w:space="0" w:color="auto"/>
          </w:divBdr>
        </w:div>
        <w:div w:id="1217283390">
          <w:marLeft w:val="0"/>
          <w:marRight w:val="0"/>
          <w:marTop w:val="0"/>
          <w:marBottom w:val="0"/>
          <w:divBdr>
            <w:top w:val="none" w:sz="0" w:space="0" w:color="auto"/>
            <w:left w:val="none" w:sz="0" w:space="0" w:color="auto"/>
            <w:bottom w:val="none" w:sz="0" w:space="0" w:color="auto"/>
            <w:right w:val="none" w:sz="0" w:space="0" w:color="auto"/>
          </w:divBdr>
        </w:div>
        <w:div w:id="1901019538">
          <w:marLeft w:val="0"/>
          <w:marRight w:val="0"/>
          <w:marTop w:val="0"/>
          <w:marBottom w:val="0"/>
          <w:divBdr>
            <w:top w:val="none" w:sz="0" w:space="0" w:color="auto"/>
            <w:left w:val="none" w:sz="0" w:space="0" w:color="auto"/>
            <w:bottom w:val="none" w:sz="0" w:space="0" w:color="auto"/>
            <w:right w:val="none" w:sz="0" w:space="0" w:color="auto"/>
          </w:divBdr>
        </w:div>
        <w:div w:id="339356469">
          <w:marLeft w:val="0"/>
          <w:marRight w:val="0"/>
          <w:marTop w:val="0"/>
          <w:marBottom w:val="0"/>
          <w:divBdr>
            <w:top w:val="none" w:sz="0" w:space="0" w:color="auto"/>
            <w:left w:val="none" w:sz="0" w:space="0" w:color="auto"/>
            <w:bottom w:val="none" w:sz="0" w:space="0" w:color="auto"/>
            <w:right w:val="none" w:sz="0" w:space="0" w:color="auto"/>
          </w:divBdr>
        </w:div>
        <w:div w:id="410196416">
          <w:marLeft w:val="0"/>
          <w:marRight w:val="0"/>
          <w:marTop w:val="0"/>
          <w:marBottom w:val="0"/>
          <w:divBdr>
            <w:top w:val="none" w:sz="0" w:space="0" w:color="auto"/>
            <w:left w:val="none" w:sz="0" w:space="0" w:color="auto"/>
            <w:bottom w:val="none" w:sz="0" w:space="0" w:color="auto"/>
            <w:right w:val="none" w:sz="0" w:space="0" w:color="auto"/>
          </w:divBdr>
        </w:div>
        <w:div w:id="1655138913">
          <w:marLeft w:val="0"/>
          <w:marRight w:val="0"/>
          <w:marTop w:val="0"/>
          <w:marBottom w:val="0"/>
          <w:divBdr>
            <w:top w:val="none" w:sz="0" w:space="0" w:color="auto"/>
            <w:left w:val="none" w:sz="0" w:space="0" w:color="auto"/>
            <w:bottom w:val="none" w:sz="0" w:space="0" w:color="auto"/>
            <w:right w:val="none" w:sz="0" w:space="0" w:color="auto"/>
          </w:divBdr>
        </w:div>
      </w:divsChild>
    </w:div>
    <w:div w:id="738676913">
      <w:bodyDiv w:val="1"/>
      <w:marLeft w:val="0"/>
      <w:marRight w:val="0"/>
      <w:marTop w:val="0"/>
      <w:marBottom w:val="0"/>
      <w:divBdr>
        <w:top w:val="none" w:sz="0" w:space="0" w:color="auto"/>
        <w:left w:val="none" w:sz="0" w:space="0" w:color="auto"/>
        <w:bottom w:val="none" w:sz="0" w:space="0" w:color="auto"/>
        <w:right w:val="none" w:sz="0" w:space="0" w:color="auto"/>
      </w:divBdr>
    </w:div>
    <w:div w:id="763188801">
      <w:bodyDiv w:val="1"/>
      <w:marLeft w:val="0"/>
      <w:marRight w:val="0"/>
      <w:marTop w:val="0"/>
      <w:marBottom w:val="0"/>
      <w:divBdr>
        <w:top w:val="none" w:sz="0" w:space="0" w:color="auto"/>
        <w:left w:val="none" w:sz="0" w:space="0" w:color="auto"/>
        <w:bottom w:val="none" w:sz="0" w:space="0" w:color="auto"/>
        <w:right w:val="none" w:sz="0" w:space="0" w:color="auto"/>
      </w:divBdr>
    </w:div>
    <w:div w:id="808473661">
      <w:bodyDiv w:val="1"/>
      <w:marLeft w:val="0"/>
      <w:marRight w:val="0"/>
      <w:marTop w:val="0"/>
      <w:marBottom w:val="0"/>
      <w:divBdr>
        <w:top w:val="none" w:sz="0" w:space="0" w:color="auto"/>
        <w:left w:val="none" w:sz="0" w:space="0" w:color="auto"/>
        <w:bottom w:val="none" w:sz="0" w:space="0" w:color="auto"/>
        <w:right w:val="none" w:sz="0" w:space="0" w:color="auto"/>
      </w:divBdr>
    </w:div>
    <w:div w:id="1079138645">
      <w:bodyDiv w:val="1"/>
      <w:marLeft w:val="0"/>
      <w:marRight w:val="0"/>
      <w:marTop w:val="0"/>
      <w:marBottom w:val="0"/>
      <w:divBdr>
        <w:top w:val="none" w:sz="0" w:space="0" w:color="auto"/>
        <w:left w:val="none" w:sz="0" w:space="0" w:color="auto"/>
        <w:bottom w:val="none" w:sz="0" w:space="0" w:color="auto"/>
        <w:right w:val="none" w:sz="0" w:space="0" w:color="auto"/>
      </w:divBdr>
    </w:div>
    <w:div w:id="1079523486">
      <w:bodyDiv w:val="1"/>
      <w:marLeft w:val="0"/>
      <w:marRight w:val="0"/>
      <w:marTop w:val="0"/>
      <w:marBottom w:val="0"/>
      <w:divBdr>
        <w:top w:val="none" w:sz="0" w:space="0" w:color="auto"/>
        <w:left w:val="none" w:sz="0" w:space="0" w:color="auto"/>
        <w:bottom w:val="none" w:sz="0" w:space="0" w:color="auto"/>
        <w:right w:val="none" w:sz="0" w:space="0" w:color="auto"/>
      </w:divBdr>
      <w:divsChild>
        <w:div w:id="2034643666">
          <w:marLeft w:val="0"/>
          <w:marRight w:val="0"/>
          <w:marTop w:val="0"/>
          <w:marBottom w:val="0"/>
          <w:divBdr>
            <w:top w:val="none" w:sz="0" w:space="0" w:color="auto"/>
            <w:left w:val="none" w:sz="0" w:space="0" w:color="auto"/>
            <w:bottom w:val="none" w:sz="0" w:space="0" w:color="auto"/>
            <w:right w:val="none" w:sz="0" w:space="0" w:color="auto"/>
          </w:divBdr>
          <w:divsChild>
            <w:div w:id="921331521">
              <w:marLeft w:val="0"/>
              <w:marRight w:val="0"/>
              <w:marTop w:val="0"/>
              <w:marBottom w:val="0"/>
              <w:divBdr>
                <w:top w:val="none" w:sz="0" w:space="0" w:color="auto"/>
                <w:left w:val="none" w:sz="0" w:space="0" w:color="auto"/>
                <w:bottom w:val="none" w:sz="0" w:space="0" w:color="auto"/>
                <w:right w:val="none" w:sz="0" w:space="0" w:color="auto"/>
              </w:divBdr>
            </w:div>
            <w:div w:id="1620531502">
              <w:marLeft w:val="0"/>
              <w:marRight w:val="0"/>
              <w:marTop w:val="0"/>
              <w:marBottom w:val="0"/>
              <w:divBdr>
                <w:top w:val="none" w:sz="0" w:space="0" w:color="auto"/>
                <w:left w:val="none" w:sz="0" w:space="0" w:color="auto"/>
                <w:bottom w:val="none" w:sz="0" w:space="0" w:color="auto"/>
                <w:right w:val="none" w:sz="0" w:space="0" w:color="auto"/>
              </w:divBdr>
            </w:div>
            <w:div w:id="1654214362">
              <w:marLeft w:val="0"/>
              <w:marRight w:val="0"/>
              <w:marTop w:val="0"/>
              <w:marBottom w:val="0"/>
              <w:divBdr>
                <w:top w:val="none" w:sz="0" w:space="0" w:color="auto"/>
                <w:left w:val="none" w:sz="0" w:space="0" w:color="auto"/>
                <w:bottom w:val="none" w:sz="0" w:space="0" w:color="auto"/>
                <w:right w:val="none" w:sz="0" w:space="0" w:color="auto"/>
              </w:divBdr>
            </w:div>
            <w:div w:id="730034208">
              <w:marLeft w:val="0"/>
              <w:marRight w:val="0"/>
              <w:marTop w:val="0"/>
              <w:marBottom w:val="0"/>
              <w:divBdr>
                <w:top w:val="none" w:sz="0" w:space="0" w:color="auto"/>
                <w:left w:val="none" w:sz="0" w:space="0" w:color="auto"/>
                <w:bottom w:val="none" w:sz="0" w:space="0" w:color="auto"/>
                <w:right w:val="none" w:sz="0" w:space="0" w:color="auto"/>
              </w:divBdr>
            </w:div>
            <w:div w:id="703142595">
              <w:marLeft w:val="0"/>
              <w:marRight w:val="0"/>
              <w:marTop w:val="0"/>
              <w:marBottom w:val="0"/>
              <w:divBdr>
                <w:top w:val="none" w:sz="0" w:space="0" w:color="auto"/>
                <w:left w:val="none" w:sz="0" w:space="0" w:color="auto"/>
                <w:bottom w:val="none" w:sz="0" w:space="0" w:color="auto"/>
                <w:right w:val="none" w:sz="0" w:space="0" w:color="auto"/>
              </w:divBdr>
            </w:div>
            <w:div w:id="786236297">
              <w:marLeft w:val="0"/>
              <w:marRight w:val="0"/>
              <w:marTop w:val="0"/>
              <w:marBottom w:val="0"/>
              <w:divBdr>
                <w:top w:val="none" w:sz="0" w:space="0" w:color="auto"/>
                <w:left w:val="none" w:sz="0" w:space="0" w:color="auto"/>
                <w:bottom w:val="none" w:sz="0" w:space="0" w:color="auto"/>
                <w:right w:val="none" w:sz="0" w:space="0" w:color="auto"/>
              </w:divBdr>
            </w:div>
            <w:div w:id="53342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81319">
      <w:bodyDiv w:val="1"/>
      <w:marLeft w:val="0"/>
      <w:marRight w:val="0"/>
      <w:marTop w:val="0"/>
      <w:marBottom w:val="0"/>
      <w:divBdr>
        <w:top w:val="none" w:sz="0" w:space="0" w:color="auto"/>
        <w:left w:val="none" w:sz="0" w:space="0" w:color="auto"/>
        <w:bottom w:val="none" w:sz="0" w:space="0" w:color="auto"/>
        <w:right w:val="none" w:sz="0" w:space="0" w:color="auto"/>
      </w:divBdr>
      <w:divsChild>
        <w:div w:id="1406412976">
          <w:marLeft w:val="0"/>
          <w:marRight w:val="0"/>
          <w:marTop w:val="0"/>
          <w:marBottom w:val="0"/>
          <w:divBdr>
            <w:top w:val="none" w:sz="0" w:space="0" w:color="auto"/>
            <w:left w:val="none" w:sz="0" w:space="0" w:color="auto"/>
            <w:bottom w:val="none" w:sz="0" w:space="0" w:color="auto"/>
            <w:right w:val="none" w:sz="0" w:space="0" w:color="auto"/>
          </w:divBdr>
        </w:div>
        <w:div w:id="1825391383">
          <w:marLeft w:val="0"/>
          <w:marRight w:val="0"/>
          <w:marTop w:val="0"/>
          <w:marBottom w:val="0"/>
          <w:divBdr>
            <w:top w:val="none" w:sz="0" w:space="0" w:color="auto"/>
            <w:left w:val="none" w:sz="0" w:space="0" w:color="auto"/>
            <w:bottom w:val="none" w:sz="0" w:space="0" w:color="auto"/>
            <w:right w:val="none" w:sz="0" w:space="0" w:color="auto"/>
          </w:divBdr>
        </w:div>
        <w:div w:id="1971664058">
          <w:marLeft w:val="0"/>
          <w:marRight w:val="0"/>
          <w:marTop w:val="0"/>
          <w:marBottom w:val="0"/>
          <w:divBdr>
            <w:top w:val="none" w:sz="0" w:space="0" w:color="auto"/>
            <w:left w:val="none" w:sz="0" w:space="0" w:color="auto"/>
            <w:bottom w:val="none" w:sz="0" w:space="0" w:color="auto"/>
            <w:right w:val="none" w:sz="0" w:space="0" w:color="auto"/>
          </w:divBdr>
        </w:div>
        <w:div w:id="1665666928">
          <w:marLeft w:val="0"/>
          <w:marRight w:val="0"/>
          <w:marTop w:val="0"/>
          <w:marBottom w:val="0"/>
          <w:divBdr>
            <w:top w:val="none" w:sz="0" w:space="0" w:color="auto"/>
            <w:left w:val="none" w:sz="0" w:space="0" w:color="auto"/>
            <w:bottom w:val="none" w:sz="0" w:space="0" w:color="auto"/>
            <w:right w:val="none" w:sz="0" w:space="0" w:color="auto"/>
          </w:divBdr>
        </w:div>
        <w:div w:id="1259288965">
          <w:marLeft w:val="0"/>
          <w:marRight w:val="0"/>
          <w:marTop w:val="0"/>
          <w:marBottom w:val="0"/>
          <w:divBdr>
            <w:top w:val="none" w:sz="0" w:space="0" w:color="auto"/>
            <w:left w:val="none" w:sz="0" w:space="0" w:color="auto"/>
            <w:bottom w:val="none" w:sz="0" w:space="0" w:color="auto"/>
            <w:right w:val="none" w:sz="0" w:space="0" w:color="auto"/>
          </w:divBdr>
        </w:div>
        <w:div w:id="1141731754">
          <w:marLeft w:val="0"/>
          <w:marRight w:val="0"/>
          <w:marTop w:val="0"/>
          <w:marBottom w:val="0"/>
          <w:divBdr>
            <w:top w:val="none" w:sz="0" w:space="0" w:color="auto"/>
            <w:left w:val="none" w:sz="0" w:space="0" w:color="auto"/>
            <w:bottom w:val="none" w:sz="0" w:space="0" w:color="auto"/>
            <w:right w:val="none" w:sz="0" w:space="0" w:color="auto"/>
          </w:divBdr>
        </w:div>
        <w:div w:id="654073486">
          <w:marLeft w:val="0"/>
          <w:marRight w:val="0"/>
          <w:marTop w:val="0"/>
          <w:marBottom w:val="0"/>
          <w:divBdr>
            <w:top w:val="none" w:sz="0" w:space="0" w:color="auto"/>
            <w:left w:val="none" w:sz="0" w:space="0" w:color="auto"/>
            <w:bottom w:val="none" w:sz="0" w:space="0" w:color="auto"/>
            <w:right w:val="none" w:sz="0" w:space="0" w:color="auto"/>
          </w:divBdr>
        </w:div>
        <w:div w:id="255408108">
          <w:marLeft w:val="0"/>
          <w:marRight w:val="0"/>
          <w:marTop w:val="0"/>
          <w:marBottom w:val="0"/>
          <w:divBdr>
            <w:top w:val="none" w:sz="0" w:space="0" w:color="auto"/>
            <w:left w:val="none" w:sz="0" w:space="0" w:color="auto"/>
            <w:bottom w:val="none" w:sz="0" w:space="0" w:color="auto"/>
            <w:right w:val="none" w:sz="0" w:space="0" w:color="auto"/>
          </w:divBdr>
        </w:div>
        <w:div w:id="1979606717">
          <w:marLeft w:val="0"/>
          <w:marRight w:val="0"/>
          <w:marTop w:val="0"/>
          <w:marBottom w:val="0"/>
          <w:divBdr>
            <w:top w:val="none" w:sz="0" w:space="0" w:color="auto"/>
            <w:left w:val="none" w:sz="0" w:space="0" w:color="auto"/>
            <w:bottom w:val="none" w:sz="0" w:space="0" w:color="auto"/>
            <w:right w:val="none" w:sz="0" w:space="0" w:color="auto"/>
          </w:divBdr>
        </w:div>
        <w:div w:id="199896807">
          <w:marLeft w:val="0"/>
          <w:marRight w:val="0"/>
          <w:marTop w:val="0"/>
          <w:marBottom w:val="0"/>
          <w:divBdr>
            <w:top w:val="none" w:sz="0" w:space="0" w:color="auto"/>
            <w:left w:val="none" w:sz="0" w:space="0" w:color="auto"/>
            <w:bottom w:val="none" w:sz="0" w:space="0" w:color="auto"/>
            <w:right w:val="none" w:sz="0" w:space="0" w:color="auto"/>
          </w:divBdr>
        </w:div>
        <w:div w:id="2029870219">
          <w:marLeft w:val="0"/>
          <w:marRight w:val="0"/>
          <w:marTop w:val="0"/>
          <w:marBottom w:val="0"/>
          <w:divBdr>
            <w:top w:val="none" w:sz="0" w:space="0" w:color="auto"/>
            <w:left w:val="none" w:sz="0" w:space="0" w:color="auto"/>
            <w:bottom w:val="none" w:sz="0" w:space="0" w:color="auto"/>
            <w:right w:val="none" w:sz="0" w:space="0" w:color="auto"/>
          </w:divBdr>
        </w:div>
        <w:div w:id="1905407989">
          <w:marLeft w:val="0"/>
          <w:marRight w:val="0"/>
          <w:marTop w:val="0"/>
          <w:marBottom w:val="0"/>
          <w:divBdr>
            <w:top w:val="none" w:sz="0" w:space="0" w:color="auto"/>
            <w:left w:val="none" w:sz="0" w:space="0" w:color="auto"/>
            <w:bottom w:val="none" w:sz="0" w:space="0" w:color="auto"/>
            <w:right w:val="none" w:sz="0" w:space="0" w:color="auto"/>
          </w:divBdr>
        </w:div>
        <w:div w:id="1191459262">
          <w:marLeft w:val="0"/>
          <w:marRight w:val="0"/>
          <w:marTop w:val="0"/>
          <w:marBottom w:val="0"/>
          <w:divBdr>
            <w:top w:val="none" w:sz="0" w:space="0" w:color="auto"/>
            <w:left w:val="none" w:sz="0" w:space="0" w:color="auto"/>
            <w:bottom w:val="none" w:sz="0" w:space="0" w:color="auto"/>
            <w:right w:val="none" w:sz="0" w:space="0" w:color="auto"/>
          </w:divBdr>
        </w:div>
        <w:div w:id="1471433443">
          <w:marLeft w:val="0"/>
          <w:marRight w:val="0"/>
          <w:marTop w:val="0"/>
          <w:marBottom w:val="0"/>
          <w:divBdr>
            <w:top w:val="none" w:sz="0" w:space="0" w:color="auto"/>
            <w:left w:val="none" w:sz="0" w:space="0" w:color="auto"/>
            <w:bottom w:val="none" w:sz="0" w:space="0" w:color="auto"/>
            <w:right w:val="none" w:sz="0" w:space="0" w:color="auto"/>
          </w:divBdr>
        </w:div>
        <w:div w:id="202792118">
          <w:marLeft w:val="0"/>
          <w:marRight w:val="0"/>
          <w:marTop w:val="0"/>
          <w:marBottom w:val="0"/>
          <w:divBdr>
            <w:top w:val="none" w:sz="0" w:space="0" w:color="auto"/>
            <w:left w:val="none" w:sz="0" w:space="0" w:color="auto"/>
            <w:bottom w:val="none" w:sz="0" w:space="0" w:color="auto"/>
            <w:right w:val="none" w:sz="0" w:space="0" w:color="auto"/>
          </w:divBdr>
        </w:div>
      </w:divsChild>
    </w:div>
    <w:div w:id="1784877849">
      <w:bodyDiv w:val="1"/>
      <w:marLeft w:val="0"/>
      <w:marRight w:val="0"/>
      <w:marTop w:val="0"/>
      <w:marBottom w:val="0"/>
      <w:divBdr>
        <w:top w:val="none" w:sz="0" w:space="0" w:color="auto"/>
        <w:left w:val="none" w:sz="0" w:space="0" w:color="auto"/>
        <w:bottom w:val="none" w:sz="0" w:space="0" w:color="auto"/>
        <w:right w:val="none" w:sz="0" w:space="0" w:color="auto"/>
      </w:divBdr>
    </w:div>
    <w:div w:id="1831408457">
      <w:bodyDiv w:val="1"/>
      <w:marLeft w:val="0"/>
      <w:marRight w:val="0"/>
      <w:marTop w:val="0"/>
      <w:marBottom w:val="0"/>
      <w:divBdr>
        <w:top w:val="none" w:sz="0" w:space="0" w:color="auto"/>
        <w:left w:val="none" w:sz="0" w:space="0" w:color="auto"/>
        <w:bottom w:val="none" w:sz="0" w:space="0" w:color="auto"/>
        <w:right w:val="none" w:sz="0" w:space="0" w:color="auto"/>
      </w:divBdr>
    </w:div>
    <w:div w:id="1968849125">
      <w:bodyDiv w:val="1"/>
      <w:marLeft w:val="0"/>
      <w:marRight w:val="0"/>
      <w:marTop w:val="0"/>
      <w:marBottom w:val="0"/>
      <w:divBdr>
        <w:top w:val="none" w:sz="0" w:space="0" w:color="auto"/>
        <w:left w:val="none" w:sz="0" w:space="0" w:color="auto"/>
        <w:bottom w:val="none" w:sz="0" w:space="0" w:color="auto"/>
        <w:right w:val="none" w:sz="0" w:space="0" w:color="auto"/>
      </w:divBdr>
      <w:divsChild>
        <w:div w:id="2075662879">
          <w:marLeft w:val="0"/>
          <w:marRight w:val="0"/>
          <w:marTop w:val="0"/>
          <w:marBottom w:val="0"/>
          <w:divBdr>
            <w:top w:val="none" w:sz="0" w:space="0" w:color="auto"/>
            <w:left w:val="none" w:sz="0" w:space="0" w:color="auto"/>
            <w:bottom w:val="none" w:sz="0" w:space="0" w:color="auto"/>
            <w:right w:val="none" w:sz="0" w:space="0" w:color="auto"/>
          </w:divBdr>
        </w:div>
        <w:div w:id="415127082">
          <w:marLeft w:val="0"/>
          <w:marRight w:val="0"/>
          <w:marTop w:val="0"/>
          <w:marBottom w:val="0"/>
          <w:divBdr>
            <w:top w:val="none" w:sz="0" w:space="0" w:color="auto"/>
            <w:left w:val="none" w:sz="0" w:space="0" w:color="auto"/>
            <w:bottom w:val="none" w:sz="0" w:space="0" w:color="auto"/>
            <w:right w:val="none" w:sz="0" w:space="0" w:color="auto"/>
          </w:divBdr>
        </w:div>
        <w:div w:id="463889045">
          <w:marLeft w:val="0"/>
          <w:marRight w:val="0"/>
          <w:marTop w:val="0"/>
          <w:marBottom w:val="0"/>
          <w:divBdr>
            <w:top w:val="none" w:sz="0" w:space="0" w:color="auto"/>
            <w:left w:val="none" w:sz="0" w:space="0" w:color="auto"/>
            <w:bottom w:val="none" w:sz="0" w:space="0" w:color="auto"/>
            <w:right w:val="none" w:sz="0" w:space="0" w:color="auto"/>
          </w:divBdr>
        </w:div>
        <w:div w:id="189072666">
          <w:marLeft w:val="0"/>
          <w:marRight w:val="0"/>
          <w:marTop w:val="0"/>
          <w:marBottom w:val="0"/>
          <w:divBdr>
            <w:top w:val="none" w:sz="0" w:space="0" w:color="auto"/>
            <w:left w:val="none" w:sz="0" w:space="0" w:color="auto"/>
            <w:bottom w:val="none" w:sz="0" w:space="0" w:color="auto"/>
            <w:right w:val="none" w:sz="0" w:space="0" w:color="auto"/>
          </w:divBdr>
        </w:div>
        <w:div w:id="759982065">
          <w:marLeft w:val="0"/>
          <w:marRight w:val="0"/>
          <w:marTop w:val="0"/>
          <w:marBottom w:val="0"/>
          <w:divBdr>
            <w:top w:val="none" w:sz="0" w:space="0" w:color="auto"/>
            <w:left w:val="none" w:sz="0" w:space="0" w:color="auto"/>
            <w:bottom w:val="none" w:sz="0" w:space="0" w:color="auto"/>
            <w:right w:val="none" w:sz="0" w:space="0" w:color="auto"/>
          </w:divBdr>
        </w:div>
        <w:div w:id="712459447">
          <w:marLeft w:val="0"/>
          <w:marRight w:val="0"/>
          <w:marTop w:val="0"/>
          <w:marBottom w:val="0"/>
          <w:divBdr>
            <w:top w:val="none" w:sz="0" w:space="0" w:color="auto"/>
            <w:left w:val="none" w:sz="0" w:space="0" w:color="auto"/>
            <w:bottom w:val="none" w:sz="0" w:space="0" w:color="auto"/>
            <w:right w:val="none" w:sz="0" w:space="0" w:color="auto"/>
          </w:divBdr>
        </w:div>
        <w:div w:id="1294629639">
          <w:marLeft w:val="0"/>
          <w:marRight w:val="0"/>
          <w:marTop w:val="0"/>
          <w:marBottom w:val="0"/>
          <w:divBdr>
            <w:top w:val="none" w:sz="0" w:space="0" w:color="auto"/>
            <w:left w:val="none" w:sz="0" w:space="0" w:color="auto"/>
            <w:bottom w:val="none" w:sz="0" w:space="0" w:color="auto"/>
            <w:right w:val="none" w:sz="0" w:space="0" w:color="auto"/>
          </w:divBdr>
        </w:div>
        <w:div w:id="1596207308">
          <w:marLeft w:val="0"/>
          <w:marRight w:val="0"/>
          <w:marTop w:val="0"/>
          <w:marBottom w:val="0"/>
          <w:divBdr>
            <w:top w:val="none" w:sz="0" w:space="0" w:color="auto"/>
            <w:left w:val="none" w:sz="0" w:space="0" w:color="auto"/>
            <w:bottom w:val="none" w:sz="0" w:space="0" w:color="auto"/>
            <w:right w:val="none" w:sz="0" w:space="0" w:color="auto"/>
          </w:divBdr>
        </w:div>
        <w:div w:id="380325383">
          <w:marLeft w:val="0"/>
          <w:marRight w:val="0"/>
          <w:marTop w:val="0"/>
          <w:marBottom w:val="0"/>
          <w:divBdr>
            <w:top w:val="none" w:sz="0" w:space="0" w:color="auto"/>
            <w:left w:val="none" w:sz="0" w:space="0" w:color="auto"/>
            <w:bottom w:val="none" w:sz="0" w:space="0" w:color="auto"/>
            <w:right w:val="none" w:sz="0" w:space="0" w:color="auto"/>
          </w:divBdr>
        </w:div>
        <w:div w:id="58596798">
          <w:marLeft w:val="0"/>
          <w:marRight w:val="0"/>
          <w:marTop w:val="0"/>
          <w:marBottom w:val="0"/>
          <w:divBdr>
            <w:top w:val="none" w:sz="0" w:space="0" w:color="auto"/>
            <w:left w:val="none" w:sz="0" w:space="0" w:color="auto"/>
            <w:bottom w:val="none" w:sz="0" w:space="0" w:color="auto"/>
            <w:right w:val="none" w:sz="0" w:space="0" w:color="auto"/>
          </w:divBdr>
        </w:div>
        <w:div w:id="190923816">
          <w:marLeft w:val="0"/>
          <w:marRight w:val="0"/>
          <w:marTop w:val="0"/>
          <w:marBottom w:val="0"/>
          <w:divBdr>
            <w:top w:val="none" w:sz="0" w:space="0" w:color="auto"/>
            <w:left w:val="none" w:sz="0" w:space="0" w:color="auto"/>
            <w:bottom w:val="none" w:sz="0" w:space="0" w:color="auto"/>
            <w:right w:val="none" w:sz="0" w:space="0" w:color="auto"/>
          </w:divBdr>
        </w:div>
        <w:div w:id="1473983182">
          <w:marLeft w:val="0"/>
          <w:marRight w:val="0"/>
          <w:marTop w:val="0"/>
          <w:marBottom w:val="0"/>
          <w:divBdr>
            <w:top w:val="none" w:sz="0" w:space="0" w:color="auto"/>
            <w:left w:val="none" w:sz="0" w:space="0" w:color="auto"/>
            <w:bottom w:val="none" w:sz="0" w:space="0" w:color="auto"/>
            <w:right w:val="none" w:sz="0" w:space="0" w:color="auto"/>
          </w:divBdr>
        </w:div>
        <w:div w:id="233204258">
          <w:marLeft w:val="0"/>
          <w:marRight w:val="0"/>
          <w:marTop w:val="0"/>
          <w:marBottom w:val="0"/>
          <w:divBdr>
            <w:top w:val="none" w:sz="0" w:space="0" w:color="auto"/>
            <w:left w:val="none" w:sz="0" w:space="0" w:color="auto"/>
            <w:bottom w:val="none" w:sz="0" w:space="0" w:color="auto"/>
            <w:right w:val="none" w:sz="0" w:space="0" w:color="auto"/>
          </w:divBdr>
        </w:div>
        <w:div w:id="1373454433">
          <w:marLeft w:val="0"/>
          <w:marRight w:val="0"/>
          <w:marTop w:val="0"/>
          <w:marBottom w:val="0"/>
          <w:divBdr>
            <w:top w:val="none" w:sz="0" w:space="0" w:color="auto"/>
            <w:left w:val="none" w:sz="0" w:space="0" w:color="auto"/>
            <w:bottom w:val="none" w:sz="0" w:space="0" w:color="auto"/>
            <w:right w:val="none" w:sz="0" w:space="0" w:color="auto"/>
          </w:divBdr>
        </w:div>
        <w:div w:id="1981302168">
          <w:marLeft w:val="0"/>
          <w:marRight w:val="0"/>
          <w:marTop w:val="0"/>
          <w:marBottom w:val="0"/>
          <w:divBdr>
            <w:top w:val="none" w:sz="0" w:space="0" w:color="auto"/>
            <w:left w:val="none" w:sz="0" w:space="0" w:color="auto"/>
            <w:bottom w:val="none" w:sz="0" w:space="0" w:color="auto"/>
            <w:right w:val="none" w:sz="0" w:space="0" w:color="auto"/>
          </w:divBdr>
        </w:div>
        <w:div w:id="1656910030">
          <w:marLeft w:val="0"/>
          <w:marRight w:val="0"/>
          <w:marTop w:val="0"/>
          <w:marBottom w:val="0"/>
          <w:divBdr>
            <w:top w:val="none" w:sz="0" w:space="0" w:color="auto"/>
            <w:left w:val="none" w:sz="0" w:space="0" w:color="auto"/>
            <w:bottom w:val="none" w:sz="0" w:space="0" w:color="auto"/>
            <w:right w:val="none" w:sz="0" w:space="0" w:color="auto"/>
          </w:divBdr>
        </w:div>
        <w:div w:id="1048914656">
          <w:marLeft w:val="0"/>
          <w:marRight w:val="0"/>
          <w:marTop w:val="0"/>
          <w:marBottom w:val="0"/>
          <w:divBdr>
            <w:top w:val="none" w:sz="0" w:space="0" w:color="auto"/>
            <w:left w:val="none" w:sz="0" w:space="0" w:color="auto"/>
            <w:bottom w:val="none" w:sz="0" w:space="0" w:color="auto"/>
            <w:right w:val="none" w:sz="0" w:space="0" w:color="auto"/>
          </w:divBdr>
        </w:div>
        <w:div w:id="1478261561">
          <w:marLeft w:val="0"/>
          <w:marRight w:val="0"/>
          <w:marTop w:val="0"/>
          <w:marBottom w:val="0"/>
          <w:divBdr>
            <w:top w:val="none" w:sz="0" w:space="0" w:color="auto"/>
            <w:left w:val="none" w:sz="0" w:space="0" w:color="auto"/>
            <w:bottom w:val="none" w:sz="0" w:space="0" w:color="auto"/>
            <w:right w:val="none" w:sz="0" w:space="0" w:color="auto"/>
          </w:divBdr>
        </w:div>
        <w:div w:id="1852836746">
          <w:marLeft w:val="0"/>
          <w:marRight w:val="0"/>
          <w:marTop w:val="0"/>
          <w:marBottom w:val="0"/>
          <w:divBdr>
            <w:top w:val="none" w:sz="0" w:space="0" w:color="auto"/>
            <w:left w:val="none" w:sz="0" w:space="0" w:color="auto"/>
            <w:bottom w:val="none" w:sz="0" w:space="0" w:color="auto"/>
            <w:right w:val="none" w:sz="0" w:space="0" w:color="auto"/>
          </w:divBdr>
        </w:div>
        <w:div w:id="763571357">
          <w:marLeft w:val="0"/>
          <w:marRight w:val="0"/>
          <w:marTop w:val="0"/>
          <w:marBottom w:val="0"/>
          <w:divBdr>
            <w:top w:val="none" w:sz="0" w:space="0" w:color="auto"/>
            <w:left w:val="none" w:sz="0" w:space="0" w:color="auto"/>
            <w:bottom w:val="none" w:sz="0" w:space="0" w:color="auto"/>
            <w:right w:val="none" w:sz="0" w:space="0" w:color="auto"/>
          </w:divBdr>
        </w:div>
        <w:div w:id="295835477">
          <w:marLeft w:val="0"/>
          <w:marRight w:val="0"/>
          <w:marTop w:val="0"/>
          <w:marBottom w:val="0"/>
          <w:divBdr>
            <w:top w:val="none" w:sz="0" w:space="0" w:color="auto"/>
            <w:left w:val="none" w:sz="0" w:space="0" w:color="auto"/>
            <w:bottom w:val="none" w:sz="0" w:space="0" w:color="auto"/>
            <w:right w:val="none" w:sz="0" w:space="0" w:color="auto"/>
          </w:divBdr>
        </w:div>
        <w:div w:id="504790050">
          <w:marLeft w:val="0"/>
          <w:marRight w:val="0"/>
          <w:marTop w:val="0"/>
          <w:marBottom w:val="0"/>
          <w:divBdr>
            <w:top w:val="none" w:sz="0" w:space="0" w:color="auto"/>
            <w:left w:val="none" w:sz="0" w:space="0" w:color="auto"/>
            <w:bottom w:val="none" w:sz="0" w:space="0" w:color="auto"/>
            <w:right w:val="none" w:sz="0" w:space="0" w:color="auto"/>
          </w:divBdr>
        </w:div>
        <w:div w:id="1646201924">
          <w:marLeft w:val="0"/>
          <w:marRight w:val="0"/>
          <w:marTop w:val="0"/>
          <w:marBottom w:val="0"/>
          <w:divBdr>
            <w:top w:val="none" w:sz="0" w:space="0" w:color="auto"/>
            <w:left w:val="none" w:sz="0" w:space="0" w:color="auto"/>
            <w:bottom w:val="none" w:sz="0" w:space="0" w:color="auto"/>
            <w:right w:val="none" w:sz="0" w:space="0" w:color="auto"/>
          </w:divBdr>
        </w:div>
        <w:div w:id="647243184">
          <w:marLeft w:val="0"/>
          <w:marRight w:val="0"/>
          <w:marTop w:val="0"/>
          <w:marBottom w:val="0"/>
          <w:divBdr>
            <w:top w:val="none" w:sz="0" w:space="0" w:color="auto"/>
            <w:left w:val="none" w:sz="0" w:space="0" w:color="auto"/>
            <w:bottom w:val="none" w:sz="0" w:space="0" w:color="auto"/>
            <w:right w:val="none" w:sz="0" w:space="0" w:color="auto"/>
          </w:divBdr>
        </w:div>
        <w:div w:id="1710914852">
          <w:marLeft w:val="0"/>
          <w:marRight w:val="0"/>
          <w:marTop w:val="0"/>
          <w:marBottom w:val="0"/>
          <w:divBdr>
            <w:top w:val="none" w:sz="0" w:space="0" w:color="auto"/>
            <w:left w:val="none" w:sz="0" w:space="0" w:color="auto"/>
            <w:bottom w:val="none" w:sz="0" w:space="0" w:color="auto"/>
            <w:right w:val="none" w:sz="0" w:space="0" w:color="auto"/>
          </w:divBdr>
        </w:div>
        <w:div w:id="2035958984">
          <w:marLeft w:val="0"/>
          <w:marRight w:val="0"/>
          <w:marTop w:val="0"/>
          <w:marBottom w:val="0"/>
          <w:divBdr>
            <w:top w:val="none" w:sz="0" w:space="0" w:color="auto"/>
            <w:left w:val="none" w:sz="0" w:space="0" w:color="auto"/>
            <w:bottom w:val="none" w:sz="0" w:space="0" w:color="auto"/>
            <w:right w:val="none" w:sz="0" w:space="0" w:color="auto"/>
          </w:divBdr>
        </w:div>
        <w:div w:id="1143934626">
          <w:marLeft w:val="0"/>
          <w:marRight w:val="0"/>
          <w:marTop w:val="0"/>
          <w:marBottom w:val="0"/>
          <w:divBdr>
            <w:top w:val="none" w:sz="0" w:space="0" w:color="auto"/>
            <w:left w:val="none" w:sz="0" w:space="0" w:color="auto"/>
            <w:bottom w:val="none" w:sz="0" w:space="0" w:color="auto"/>
            <w:right w:val="none" w:sz="0" w:space="0" w:color="auto"/>
          </w:divBdr>
        </w:div>
        <w:div w:id="1753045996">
          <w:marLeft w:val="0"/>
          <w:marRight w:val="0"/>
          <w:marTop w:val="0"/>
          <w:marBottom w:val="0"/>
          <w:divBdr>
            <w:top w:val="none" w:sz="0" w:space="0" w:color="auto"/>
            <w:left w:val="none" w:sz="0" w:space="0" w:color="auto"/>
            <w:bottom w:val="none" w:sz="0" w:space="0" w:color="auto"/>
            <w:right w:val="none" w:sz="0" w:space="0" w:color="auto"/>
          </w:divBdr>
        </w:div>
        <w:div w:id="50277873">
          <w:marLeft w:val="0"/>
          <w:marRight w:val="0"/>
          <w:marTop w:val="0"/>
          <w:marBottom w:val="0"/>
          <w:divBdr>
            <w:top w:val="none" w:sz="0" w:space="0" w:color="auto"/>
            <w:left w:val="none" w:sz="0" w:space="0" w:color="auto"/>
            <w:bottom w:val="none" w:sz="0" w:space="0" w:color="auto"/>
            <w:right w:val="none" w:sz="0" w:space="0" w:color="auto"/>
          </w:divBdr>
        </w:div>
        <w:div w:id="386686667">
          <w:marLeft w:val="0"/>
          <w:marRight w:val="0"/>
          <w:marTop w:val="0"/>
          <w:marBottom w:val="0"/>
          <w:divBdr>
            <w:top w:val="none" w:sz="0" w:space="0" w:color="auto"/>
            <w:left w:val="none" w:sz="0" w:space="0" w:color="auto"/>
            <w:bottom w:val="none" w:sz="0" w:space="0" w:color="auto"/>
            <w:right w:val="none" w:sz="0" w:space="0" w:color="auto"/>
          </w:divBdr>
        </w:div>
        <w:div w:id="840512949">
          <w:marLeft w:val="0"/>
          <w:marRight w:val="0"/>
          <w:marTop w:val="0"/>
          <w:marBottom w:val="0"/>
          <w:divBdr>
            <w:top w:val="none" w:sz="0" w:space="0" w:color="auto"/>
            <w:left w:val="none" w:sz="0" w:space="0" w:color="auto"/>
            <w:bottom w:val="none" w:sz="0" w:space="0" w:color="auto"/>
            <w:right w:val="none" w:sz="0" w:space="0" w:color="auto"/>
          </w:divBdr>
        </w:div>
      </w:divsChild>
    </w:div>
    <w:div w:id="199185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http://hu.wikipedia.org/w/index.php?title=Vagyonad%C3%B3&amp;action=edit" TargetMode="External"/><Relationship Id="rId3" Type="http://schemas.openxmlformats.org/officeDocument/2006/relationships/numbering" Target="numbering.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palyazat.gov.hu" TargetMode="External"/><Relationship Id="rId20" Type="http://schemas.openxmlformats.org/officeDocument/2006/relationships/image" Target="media/image9.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wmf"/><Relationship Id="rId32" Type="http://schemas.openxmlformats.org/officeDocument/2006/relationships/image" Target="media/image14.wmf"/><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oleObject" Target="embeddings/oleObject2.bin"/><Relationship Id="rId28" Type="http://schemas.openxmlformats.org/officeDocument/2006/relationships/oleObject" Target="embeddings/oleObject4.bin"/><Relationship Id="rId10" Type="http://schemas.openxmlformats.org/officeDocument/2006/relationships/image" Target="media/image6.jpeg"/><Relationship Id="rId19" Type="http://schemas.openxmlformats.org/officeDocument/2006/relationships/footer" Target="footer7.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3.xml"/><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oleObject" Target="embeddings/oleObject5.bin"/></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8.jpeg"/></Relationships>
</file>

<file path=word/_rels/footer7.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Közlekedési Operatív Programokért Felelős Helyettes Államtitkársága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14814A-D2E3-45B4-B926-85F0402A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21863</Words>
  <Characters>150862</Characters>
  <Application>Microsoft Office Word</Application>
  <DocSecurity>0</DocSecurity>
  <Lines>1257</Lines>
  <Paragraphs>344</Paragraphs>
  <ScaleCrop>false</ScaleCrop>
  <HeadingPairs>
    <vt:vector size="2" baseType="variant">
      <vt:variant>
        <vt:lpstr>Cím</vt:lpstr>
      </vt:variant>
      <vt:variant>
        <vt:i4>1</vt:i4>
      </vt:variant>
    </vt:vector>
  </HeadingPairs>
  <TitlesOfParts>
    <vt:vector size="1" baseType="lpstr">
      <vt:lpstr>Módszertani útmutató költség-haszon elemzéshez - KÖZOP-támogatások</vt:lpstr>
    </vt:vector>
  </TitlesOfParts>
  <Company>KD</Company>
  <LinksUpToDate>false</LinksUpToDate>
  <CharactersWithSpaces>172381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Módszertani útmutató költség-haszon elemzéshez - KÖZOP-támogatások</dc:title>
  <dc:creator>NEMZETI FEJLESZTÉSI MINISZTÉRIUM</dc:creator>
  <cp:lastModifiedBy>User</cp:lastModifiedBy>
  <cp:revision>2</cp:revision>
  <cp:lastPrinted>2015-12-28T17:13:00Z</cp:lastPrinted>
  <dcterms:created xsi:type="dcterms:W3CDTF">2018-05-16T13:03:00Z</dcterms:created>
  <dcterms:modified xsi:type="dcterms:W3CDTF">2018-05-16T13:03:00Z</dcterms:modified>
</cp:coreProperties>
</file>